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3"/>
        <w:tblpPr w:leftFromText="142" w:rightFromText="142" w:topFromText="0" w:bottomFromText="0" w:vertAnchor="page" w:horzAnchor="margin" w:tblpX="-50" w:tblpY="735"/>
        <w:tblW w:w="10598" w:type="dxa"/>
        <w:tblLayout w:type="fixed"/>
        <w:tblCellMar>
          <w:left w:w="0" w:type="dxa"/>
          <w:right w:w="0" w:type="dxa"/>
        </w:tblCellMar>
        <w:tblLook w:firstRow="1" w:lastRow="0" w:firstColumn="1" w:lastColumn="0" w:noHBand="0" w:noVBand="1" w:val="04A0"/>
      </w:tblPr>
      <w:tblGrid>
        <w:gridCol w:w="3532"/>
        <w:gridCol w:w="3533"/>
        <w:gridCol w:w="3533"/>
      </w:tblGrid>
      <w:tr>
        <w:trPr>
          <w:trHeight w:val="286" w:hRule="atLeast"/>
        </w:trPr>
        <w:tc>
          <w:tcPr>
            <w:tcW w:w="10598" w:type="dxa"/>
            <w:gridSpan w:val="3"/>
            <w:vAlign w:val="center"/>
          </w:tcPr>
          <w:p>
            <w:pPr>
              <w:pStyle w:val="0"/>
              <w:spacing w:line="240" w:lineRule="exact"/>
              <w:jc w:val="center"/>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340" w:hRule="atLeast"/>
        </w:trPr>
        <w:tc>
          <w:tcPr>
            <w:tcW w:w="3532"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rPr>
                <w:rFonts w:hint="default"/>
              </w:rPr>
            </w:pPr>
          </w:p>
        </w:tc>
        <w:tc>
          <w:tcPr>
            <w:tcW w:w="3533" w:type="dxa"/>
            <w:tcBorders>
              <w:top w:val="single" w:color="auto" w:sz="4" w:space="0"/>
              <w:left w:val="single" w:color="auto" w:sz="2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53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340" w:hRule="atLeast"/>
        </w:trPr>
        <w:tc>
          <w:tcPr>
            <w:tcW w:w="3532" w:type="dxa"/>
            <w:tcBorders>
              <w:top w:val="single" w:color="auto" w:sz="2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53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53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spacing w:line="240" w:lineRule="exact"/>
        <w:rPr>
          <w:rFonts w:hint="default" w:asciiTheme="majorEastAsia" w:hAnsiTheme="majorEastAsia" w:eastAsiaTheme="majorEastAsia"/>
          <w:sz w:val="12"/>
        </w:rPr>
      </w:pPr>
      <w:r>
        <w:rPr>
          <w:rFonts w:hint="eastAsia" w:asciiTheme="majorEastAsia" w:hAnsiTheme="majorEastAsia" w:eastAsiaTheme="majorEastAsia"/>
        </w:rPr>
        <w:t>様式第５－（イ）－⑥</w:t>
      </w:r>
    </w:p>
    <w:tbl>
      <w:tblPr>
        <w:tblStyle w:val="11"/>
        <w:tblpPr w:leftFromText="0" w:rightFromText="0" w:topFromText="0" w:bottomFromText="0" w:vertAnchor="text" w:horzAnchor="margin" w:tblpX="-55" w:tblpY="50"/>
        <w:tblOverlap w:val="never"/>
        <w:tblW w:w="10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firstRow="1" w:lastRow="0" w:firstColumn="1" w:lastColumn="0" w:noHBand="0" w:noVBand="1" w:val="04A0"/>
      </w:tblPr>
      <w:tblGrid>
        <w:gridCol w:w="10598"/>
      </w:tblGrid>
      <w:tr>
        <w:trPr/>
        <w:tc>
          <w:tcPr>
            <w:tcW w:w="10598" w:type="dxa"/>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八女市長　　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auto"/>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pacing w:line="240" w:lineRule="exact"/>
              <w:rPr>
                <w:rFonts w:hint="default" w:asciiTheme="majorEastAsia" w:hAnsiTheme="majorEastAsia" w:eastAsiaTheme="majorEastAsia"/>
                <w:sz w:val="18"/>
              </w:rPr>
            </w:pPr>
            <w:r>
              <w:rPr>
                <w:rFonts w:hint="eastAsia" w:asciiTheme="majorEastAsia" w:hAnsiTheme="majorEastAsia" w:eastAsiaTheme="majorEastAsia"/>
                <w:sz w:val="18"/>
              </w:rPr>
              <w:t>（表）</w:t>
            </w:r>
          </w:p>
          <w:tbl>
            <w:tblPr>
              <w:tblStyle w:val="11"/>
              <w:tblW w:w="11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3773"/>
              <w:gridCol w:w="3773"/>
              <w:gridCol w:w="3774"/>
            </w:tblGrid>
            <w:tr>
              <w:trPr>
                <w:trHeight w:val="378" w:hRule="atLeast"/>
              </w:trPr>
              <w:tc>
                <w:tcPr>
                  <w:tcW w:w="377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pacing w:line="240" w:lineRule="exact"/>
                    <w:rPr>
                      <w:rFonts w:hint="default" w:asciiTheme="majorEastAsia" w:hAnsiTheme="majorEastAsia" w:eastAsiaTheme="majorEastAsia"/>
                      <w:sz w:val="22"/>
                    </w:rPr>
                  </w:pPr>
                </w:p>
              </w:tc>
              <w:tc>
                <w:tcPr>
                  <w:tcW w:w="377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Theme="majorEastAsia" w:hAnsiTheme="majorEastAsia" w:eastAsiaTheme="majorEastAsia"/>
                      <w:sz w:val="22"/>
                    </w:rPr>
                  </w:pPr>
                  <w:bookmarkStart w:id="0" w:name="_GoBack"/>
                  <w:bookmarkEnd w:id="0"/>
                </w:p>
              </w:tc>
              <w:tc>
                <w:tcPr>
                  <w:tcW w:w="3774" w:type="dxa"/>
                  <w:vAlign w:val="top"/>
                </w:tcPr>
                <w:p>
                  <w:pPr>
                    <w:pStyle w:val="0"/>
                    <w:spacing w:line="240" w:lineRule="exact"/>
                    <w:rPr>
                      <w:rFonts w:hint="default" w:asciiTheme="majorEastAsia" w:hAnsiTheme="majorEastAsia" w:eastAsiaTheme="majorEastAsia"/>
                      <w:sz w:val="22"/>
                    </w:rPr>
                  </w:pPr>
                </w:p>
              </w:tc>
            </w:tr>
            <w:tr>
              <w:trPr>
                <w:trHeight w:val="378" w:hRule="atLeast"/>
              </w:trPr>
              <w:tc>
                <w:tcPr>
                  <w:tcW w:w="3773" w:type="dxa"/>
                  <w:tcBorders>
                    <w:top w:val="single" w:color="auto" w:sz="2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57"/>
                    <w:rPr>
                      <w:rFonts w:hint="default" w:asciiTheme="majorEastAsia" w:hAnsiTheme="majorEastAsia" w:eastAsiaTheme="majorEastAsia"/>
                      <w:sz w:val="22"/>
                    </w:rPr>
                  </w:pPr>
                </w:p>
              </w:tc>
              <w:tc>
                <w:tcPr>
                  <w:tcW w:w="37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57"/>
                    <w:rPr>
                      <w:rFonts w:hint="default" w:asciiTheme="majorEastAsia" w:hAnsiTheme="majorEastAsia" w:eastAsiaTheme="majorEastAsia"/>
                      <w:sz w:val="22"/>
                    </w:rPr>
                  </w:pPr>
                </w:p>
              </w:tc>
              <w:tc>
                <w:tcPr>
                  <w:tcW w:w="37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57"/>
                    <w:rPr>
                      <w:rFonts w:hint="default" w:asciiTheme="majorEastAsia" w:hAnsiTheme="majorEastAsia" w:eastAsiaTheme="majorEastAsia"/>
                      <w:sz w:val="22"/>
                    </w:rPr>
                  </w:pPr>
                </w:p>
              </w:tc>
            </w:tr>
          </w:tbl>
          <w:p>
            <w:pPr>
              <w:pStyle w:val="0"/>
              <w:suppressAutoHyphens w:val="1"/>
              <w:kinsoku w:val="0"/>
              <w:wordWrap w:val="0"/>
              <w:overflowPunct w:val="0"/>
              <w:autoSpaceDE w:val="0"/>
              <w:autoSpaceDN w:val="0"/>
              <w:adjustRightInd w:val="0"/>
              <w:spacing w:line="240" w:lineRule="exact"/>
              <w:ind w:left="88" w:leftChars="41" w:hanging="2" w:hangingChars="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15"/>
              <w:rPr>
                <w:rFonts w:hint="default"/>
              </w:rPr>
            </w:pPr>
          </w:p>
          <w:p>
            <w:pPr>
              <w:pStyle w:val="15"/>
              <w:rPr>
                <w:rFonts w:hint="default"/>
              </w:rPr>
            </w:pPr>
            <w:r>
              <w:rPr>
                <w:rFonts w:hint="eastAsia"/>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w:t>
            </w:r>
            <w:r>
              <w:rPr>
                <w:rFonts w:hint="eastAsia" w:ascii="ＭＳ ゴシック" w:hAnsi="ＭＳ ゴシック" w:eastAsia="ＭＳ ゴシック"/>
                <w:color w:val="000000"/>
                <w:kern w:val="0"/>
              </w:rPr>
              <w:t>新型コロナウイルス感染症の影響を受ける直前同期</w:t>
            </w:r>
            <w:r>
              <w:rPr>
                <w:rFonts w:hint="eastAsia" w:ascii="ＭＳ ゴシック" w:hAnsi="ＭＳ ゴシック" w:eastAsia="ＭＳ ゴシック"/>
                <w:color w:val="000000"/>
                <w:spacing w:val="16"/>
                <w:kern w:val="0"/>
              </w:rPr>
              <w:t>の企業全体の売上高等に対する、上記の表に記載した指定業種（以下同じ。）に属する事業の売上高等の減少額等の割合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Ａ：申込時点における最近３か月間の指定業種に属する事業の売上高等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Ｂ：Ａの期間に対応する新型コロナウイルス感染症の影響を受ける直前同期の</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３か月間の指定業種に属する事業の売上高等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Ｄ：Ａの期間に対応する新型コロナウイルス感染症の影響を受ける直前同期の</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color w:val="000000"/>
                <w:kern w:val="0"/>
              </w:rPr>
            </w:pPr>
            <w:r>
              <w:rPr>
                <w:rFonts w:hint="eastAsia" w:ascii="ＭＳ ゴシック" w:hAnsi="ＭＳ ゴシック" w:eastAsia="ＭＳ ゴシック"/>
                <w:color w:val="000000"/>
                <w:kern w:val="0"/>
              </w:rPr>
              <w:t>３か月間の全体の売上高等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Ｄ－Ｃ</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Ｄ　　×</w:t>
            </w:r>
            <w:r>
              <w:rPr>
                <w:rFonts w:hint="eastAsia" w:ascii="ＭＳ ゴシック" w:hAnsi="ＭＳ ゴシック" w:eastAsia="ＭＳ ゴシック"/>
                <w:color w:val="000000"/>
                <w:spacing w:val="16"/>
                <w:kern w:val="0"/>
              </w:rPr>
              <w:t>100</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color w:val="000000"/>
                <w:spacing w:val="16"/>
                <w:kern w:val="0"/>
              </w:rPr>
            </w:pPr>
            <w:r>
              <w:rPr>
                <w:rFonts w:hint="eastAsia" w:ascii="ＭＳ ゴシック" w:hAnsi="ＭＳ ゴシック" w:eastAsia="ＭＳ ゴシック"/>
                <w:color w:val="000000"/>
                <w:spacing w:val="16"/>
                <w:kern w:val="0"/>
              </w:rPr>
              <w:t>　　Ｃ：Ａの期間の全体の売上高等</w:t>
            </w:r>
            <w:r>
              <w:rPr>
                <w:rFonts w:hint="eastAsia" w:ascii="ＭＳ ゴシック" w:hAnsi="ＭＳ ゴシック" w:eastAsia="ＭＳ ゴシック"/>
                <w:color w:val="000000"/>
                <w:spacing w:val="16"/>
                <w:kern w:val="0"/>
                <w:u w:val="single" w:color="auto"/>
              </w:rPr>
              <w:t>　　　　　　　円</w:t>
            </w:r>
          </w:p>
          <w:p>
            <w:pPr>
              <w:pStyle w:val="0"/>
              <w:suppressAutoHyphens w:val="1"/>
              <w:kinsoku w:val="0"/>
              <w:wordWrap w:val="0"/>
              <w:overflowPunct w:val="0"/>
              <w:autoSpaceDE w:val="0"/>
              <w:autoSpaceDN w:val="0"/>
              <w:adjustRightInd w:val="0"/>
              <w:spacing w:line="274" w:lineRule="atLeast"/>
              <w:ind w:firstLine="484"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Ｄ：Ａの期間に対応する</w:t>
            </w:r>
            <w:r>
              <w:rPr>
                <w:rFonts w:hint="eastAsia" w:ascii="ＭＳ ゴシック" w:hAnsi="ＭＳ ゴシック" w:eastAsia="ＭＳ ゴシック"/>
                <w:color w:val="000000"/>
                <w:kern w:val="0"/>
              </w:rPr>
              <w:t>新型コロナウイルス感染症の影響を受ける直前同期の</w:t>
            </w:r>
          </w:p>
          <w:p>
            <w:pPr>
              <w:pStyle w:val="0"/>
              <w:spacing w:line="240" w:lineRule="exact"/>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３か月間の全体の売上高等</w:t>
            </w:r>
            <w:r>
              <w:rPr>
                <w:rFonts w:hint="eastAsia" w:ascii="ＭＳ ゴシック" w:hAnsi="ＭＳ ゴシック" w:eastAsia="ＭＳ ゴシック"/>
                <w:color w:val="000000"/>
                <w:spacing w:val="16"/>
                <w:kern w:val="0"/>
                <w:u w:val="single" w:color="auto"/>
              </w:rPr>
              <w:t>　　　　　　　円</w:t>
            </w:r>
          </w:p>
          <w:p>
            <w:pPr>
              <w:pStyle w:val="0"/>
              <w:spacing w:line="240" w:lineRule="exact"/>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722" w:leftChars="-66" w:hanging="861" w:hangingChars="406"/>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spacing w:val="16"/>
          <w:kern w:val="0"/>
          <w:sz w:val="14"/>
        </w:rPr>
        <w:t>（注１）本様式は、</w:t>
      </w:r>
      <w:r>
        <w:rPr>
          <w:rFonts w:hint="eastAsia" w:ascii="ＭＳ ゴシック" w:hAnsi="ＭＳ ゴシック" w:eastAsia="ＭＳ ゴシック"/>
          <w:color w:val="000000"/>
          <w:kern w:val="0"/>
          <w:sz w:val="14"/>
        </w:rPr>
        <w:t>新型コロナウイルス感染症の影響を受けている事業者であって、</w:t>
      </w:r>
      <w:r>
        <w:rPr>
          <w:rFonts w:hint="eastAsia" w:ascii="ＭＳ ゴシック" w:hAnsi="ＭＳ ゴシック" w:eastAsia="ＭＳ ゴシック"/>
          <w:color w:val="000000"/>
          <w:spacing w:val="16"/>
          <w:kern w:val="0"/>
          <w:sz w:val="14"/>
        </w:rPr>
        <w:t>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（注２）○○○には、「販売数量の減少」又は「売上高の減少」等を入れる。（留意事項）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　①　本認定とは別に、金融機関及び信用保証協会による金融上の審査があります。</w:t>
      </w:r>
    </w:p>
    <w:p>
      <w:pPr>
        <w:pStyle w:val="0"/>
        <w:spacing w:line="240" w:lineRule="exact"/>
        <w:ind w:left="540" w:hanging="540" w:hangingChars="450"/>
        <w:rPr>
          <w:rFonts w:hint="default" w:asciiTheme="majorEastAsia" w:hAnsiTheme="majorEastAsia" w:eastAsiaTheme="majorEastAsia"/>
          <w:sz w:val="8"/>
        </w:rPr>
      </w:pPr>
      <w:r>
        <w:rPr>
          <w:rFonts w:hint="eastAsia" w:ascii="ＭＳ ゴシック" w:hAnsi="ＭＳ ゴシック" w:eastAsia="ＭＳ ゴシック"/>
          <w:color w:val="000000"/>
          <w:kern w:val="0"/>
          <w:sz w:val="14"/>
        </w:rPr>
        <w:t>　②　市町村長又は特別区長から認定を受けた後、本認定の有効期間内に金融機関又は信用保証協会に対して、経営安定関連保証の申込みを行うことが必要です。</w:t>
      </w:r>
    </w:p>
    <w:p>
      <w:pPr>
        <w:pStyle w:val="0"/>
        <w:spacing w:line="240" w:lineRule="exact"/>
        <w:ind w:firstLine="220" w:firstLineChars="100"/>
        <w:rPr>
          <w:rFonts w:hint="default" w:asciiTheme="majorEastAsia" w:hAnsiTheme="majorEastAsia" w:eastAsiaTheme="majorEastAsia"/>
          <w:sz w:val="22"/>
        </w:rPr>
      </w:pPr>
    </w:p>
    <w:p>
      <w:pPr>
        <w:pStyle w:val="0"/>
        <w:spacing w:line="240" w:lineRule="exact"/>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　申請のとおり相違ないことを認定します。</w:t>
      </w:r>
    </w:p>
    <w:p>
      <w:pPr>
        <w:pStyle w:val="0"/>
        <w:spacing w:line="240" w:lineRule="exact"/>
        <w:ind w:firstLine="660" w:firstLineChars="300"/>
        <w:rPr>
          <w:rFonts w:hint="default" w:asciiTheme="majorEastAsia" w:hAnsiTheme="majorEastAsia" w:eastAsiaTheme="majorEastAsia"/>
          <w:sz w:val="22"/>
        </w:rPr>
      </w:pPr>
    </w:p>
    <w:p>
      <w:pPr>
        <w:pStyle w:val="0"/>
        <w:spacing w:line="240" w:lineRule="exact"/>
        <w:ind w:firstLine="660" w:firstLineChars="300"/>
        <w:rPr>
          <w:rFonts w:hint="default" w:asciiTheme="majorEastAsia" w:hAnsiTheme="majorEastAsia" w:eastAsiaTheme="majorEastAsia"/>
          <w:sz w:val="22"/>
        </w:rPr>
      </w:pPr>
      <w:r>
        <w:rPr>
          <w:rFonts w:hint="eastAsia" w:asciiTheme="majorEastAsia" w:hAnsiTheme="majorEastAsia" w:eastAsiaTheme="majorEastAsia"/>
          <w:sz w:val="22"/>
        </w:rPr>
        <w:t>第　　　号　　　　　年　　月　　日　認定者名</w:t>
      </w:r>
    </w:p>
    <w:p>
      <w:pPr>
        <w:pStyle w:val="0"/>
        <w:spacing w:line="240" w:lineRule="exact"/>
        <w:ind w:firstLine="660" w:firstLineChars="300"/>
        <w:rPr>
          <w:rFonts w:hint="default" w:asciiTheme="majorEastAsia" w:hAnsiTheme="majorEastAsia" w:eastAsiaTheme="majorEastAsia"/>
          <w:sz w:val="22"/>
        </w:rPr>
      </w:pPr>
    </w:p>
    <w:p>
      <w:pPr>
        <w:pStyle w:val="0"/>
        <w:spacing w:line="240" w:lineRule="exact"/>
        <w:jc w:val="center"/>
        <w:rPr>
          <w:rFonts w:hint="default" w:asciiTheme="majorEastAsia" w:hAnsiTheme="majorEastAsia" w:eastAsiaTheme="majorEastAsia"/>
          <w:sz w:val="22"/>
        </w:rPr>
      </w:pPr>
      <w:r>
        <w:rPr>
          <w:rFonts w:hint="eastAsia" w:asciiTheme="majorEastAsia" w:hAnsiTheme="majorEastAsia" w:eastAsiaTheme="majorEastAsia"/>
          <w:sz w:val="18"/>
        </w:rPr>
        <w:t>※本認定書の有効期間：　　　　年　　月　　日から　　　　年　　月　　日</w:t>
      </w:r>
    </w:p>
    <w:sectPr>
      <w:pgSz w:w="11906" w:h="16838"/>
      <w:pgMar w:top="720" w:right="720" w:bottom="720" w:left="720" w:header="851" w:footer="992" w:gutter="0"/>
      <w:cols w:space="720"/>
      <w:textDirection w:val="lrTb"/>
      <w:docGrid w:type="lines" w:linePitch="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2"/>
    </w:rPr>
  </w:style>
  <w:style w:type="paragraph" w:styleId="16">
    <w:name w:val="Closing"/>
    <w:basedOn w:val="0"/>
    <w:next w:val="16"/>
    <w:link w:val="0"/>
    <w:uiPriority w:val="0"/>
    <w:pPr>
      <w:jc w:val="right"/>
    </w:pPr>
    <w:rPr>
      <w:sz w:val="22"/>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character" w:styleId="22" w:customStyle="1">
    <w:name w:val="記 (文字)"/>
    <w:basedOn w:val="10"/>
    <w:next w:val="22"/>
    <w:link w:val="15"/>
    <w:uiPriority w:val="0"/>
    <w:rPr>
      <w:rFonts w:ascii="ＭＳ ゴシック" w:hAnsi="ＭＳ ゴシック" w:eastAsia="ＭＳ ゴシック"/>
      <w:color w:val="000000"/>
      <w:kern w:val="0"/>
    </w:rPr>
  </w:style>
  <w:style w:type="table" w:styleId="23">
    <w:name w:val="Table Grid"/>
    <w:basedOn w:val="11"/>
    <w:next w:val="23"/>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189</TotalTime>
  <Pages>1</Pages>
  <Words>2</Words>
  <Characters>945</Characters>
  <Application>JUST Note</Application>
  <Lines>60</Lines>
  <Paragraphs>34</Paragraphs>
  <Company>FM-USER</Company>
  <CharactersWithSpaces>1362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中小企業信用保険法第２条第３項</dc:title>
  <dc:creator>PC100630</dc:creator>
  <cp:lastModifiedBy>1304_安田　凌介_企画部_商工・企業誘致課_商工振興係</cp:lastModifiedBy>
  <cp:lastPrinted>2020-03-06T06:10:00Z</cp:lastPrinted>
  <dcterms:created xsi:type="dcterms:W3CDTF">2012-10-12T08:20:00Z</dcterms:created>
  <dcterms:modified xsi:type="dcterms:W3CDTF">2024-11-18T02:45:07Z</dcterms:modified>
  <cp:revision>26</cp:revision>
</cp:coreProperties>
</file>