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1"/>
        <w:overflowPunct w:val="1"/>
        <w:ind w:left="737" w:leftChars="301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八女市入札予定価格の事前公表に関する要領</w:t>
      </w:r>
    </w:p>
    <w:p>
      <w:pPr>
        <w:pStyle w:val="0"/>
        <w:kinsoku w:val="1"/>
        <w:overflowPunct w:val="1"/>
        <w:ind w:leftChars="0" w:right="250" w:rightChars="102" w:firstLine="0" w:firstLineChars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（令和８年１月６日決裁）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（趣旨）</w:t>
      </w:r>
    </w:p>
    <w:p>
      <w:pPr>
        <w:pStyle w:val="0"/>
        <w:kinsoku w:val="1"/>
        <w:overflowPunct w:val="1"/>
        <w:ind w:left="0" w:leftChars="0" w:hanging="245" w:hanging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第１条　この要領は、入札・契約制度の透明化を図るとともに、市民の公共工事等に対する信頼を高め、不正行為の防止に資するため、八女市契約規則（平成１１年八女市規則第１号）第９条第３項（第２１条において準用する場合を含む。）に規定する予定価格の事前公表（以下「事前公表」という。）に関し、必要な事項を定めるものとする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（事前公表の対象）</w:t>
      </w:r>
    </w:p>
    <w:p>
      <w:pPr>
        <w:pStyle w:val="0"/>
        <w:kinsoku w:val="1"/>
        <w:overflowPunct w:val="1"/>
        <w:ind w:left="0" w:leftChars="0" w:hanging="245" w:hanging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第２条　競争入札に付す建設工事・業務委託・物品購入は、すべて予定価格を事前公表する。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（事前公表の内容）</w:t>
      </w:r>
    </w:p>
    <w:p>
      <w:pPr>
        <w:pStyle w:val="0"/>
        <w:kinsoku w:val="1"/>
        <w:overflowPunct w:val="1"/>
        <w:ind w:left="0" w:leftChars="0" w:hanging="245" w:hanging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第３条　事前公表をする予定価格は、消費税及び地方消費税相当額を含まない額とする。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（事前公表の時期）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第４条　事前公表の時期は、入札を公告した日又は通知した日からとする。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（事前公表の方法）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第５条　予定価格の事前公表は、次の方法により行う。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（１）　一般競争入札　入札の公告への記載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指名競争入札　指名通知書への記載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（入札の条件）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第６条　事前公表を行う競争入札の条件は、次に定めるとおりとする。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（１）　入札金額は、予定価格を超えないこと。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入札の回数は、</w:t>
      </w:r>
      <w:r>
        <w:rPr>
          <w:rFonts w:hint="eastAsia" w:ascii="BIZ UDゴシック" w:hAnsi="BIZ UDゴシック" w:eastAsia="BIZ UDゴシック"/>
          <w:color w:val="auto"/>
        </w:rPr>
        <w:t>1</w:t>
      </w:r>
      <w:r>
        <w:rPr>
          <w:rFonts w:hint="eastAsia" w:ascii="BIZ UDゴシック" w:hAnsi="BIZ UDゴシック" w:eastAsia="BIZ UDゴシック"/>
          <w:color w:val="auto"/>
        </w:rPr>
        <w:t>回とする。</w:t>
      </w:r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（３）　入札金額の根拠となった積算内訳書を提出すること。</w:t>
      </w: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工事のみ）</w:t>
      </w:r>
      <w:bookmarkStart w:id="0" w:name="_GoBack"/>
      <w:bookmarkEnd w:id="0"/>
    </w:p>
    <w:p>
      <w:pPr>
        <w:pStyle w:val="0"/>
        <w:kinsoku w:val="1"/>
        <w:overflowPunct w:val="1"/>
        <w:ind w:left="0" w:leftChars="0" w:firstLine="245" w:firstLine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（補則）</w:t>
      </w:r>
    </w:p>
    <w:p>
      <w:pPr>
        <w:pStyle w:val="0"/>
        <w:kinsoku w:val="1"/>
        <w:overflowPunct w:val="1"/>
        <w:ind w:left="0" w:leftChars="0" w:hanging="245" w:hangingChars="10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第７条　この要領に定めるもののほか、必要な事項は、市長が別に定める。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附　則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（施行期日）</w:t>
      </w:r>
    </w:p>
    <w:p>
      <w:pPr>
        <w:pStyle w:val="0"/>
        <w:kinsoku w:val="1"/>
        <w:overflowPunct w:val="1"/>
        <w:ind w:leftChars="0" w:firstLine="0" w:firstLineChars="0"/>
        <w:jc w:val="both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１　この要領は、令和８年２月１０日から施行する。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（経過措置）</w:t>
      </w: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２　この要領の規定は、この要領の施行の日以後に入札の公告又は指名通知を行う　入札について適用し、同日前に入札の公告又は指名通知を行った入札については、なお従前の例による。</w:t>
      </w: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</w:p>
    <w:sectPr>
      <w:type w:val="nextColumn"/>
      <w:pgSz w:w="11905" w:h="16837"/>
      <w:pgMar w:top="1304" w:right="1418" w:bottom="851" w:left="1418" w:header="720" w:footer="51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</Words>
  <Characters>579</Characters>
  <Application>JUST Note</Application>
  <Lines>29</Lines>
  <Paragraphs>23</Paragraphs>
  <Company>八女市</Company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635_山下　稔_総務部_総務課_契約係</dc:creator>
  <cp:lastModifiedBy>781_平島　悠二_総務部_総務課_契約係</cp:lastModifiedBy>
  <dcterms:created xsi:type="dcterms:W3CDTF">2025-02-06T08:00:00Z</dcterms:created>
  <dcterms:modified xsi:type="dcterms:W3CDTF">2026-01-28T12:24:47Z</dcterms:modified>
  <cp:revision>5</cp:revision>
</cp:coreProperties>
</file>