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4"/>
          <w:highlight w:val="none"/>
          <w:shd w:val="clear" w:color="auto" w:fill="auto"/>
        </w:rPr>
      </w:pPr>
      <w:r>
        <w:rPr>
          <w:rFonts w:hint="eastAsia"/>
          <w:sz w:val="24"/>
          <w:highlight w:val="none"/>
          <w:shd w:val="clear" w:color="auto" w:fill="auto"/>
        </w:rPr>
        <w:t>（公印省略）</w:t>
      </w:r>
    </w:p>
    <w:p>
      <w:pPr>
        <w:pStyle w:val="0"/>
        <w:jc w:val="right"/>
        <w:rPr>
          <w:rFonts w:hint="eastAsia"/>
          <w:sz w:val="24"/>
          <w:highlight w:val="none"/>
          <w:shd w:val="clear" w:color="auto" w:fill="auto"/>
        </w:rPr>
      </w:pPr>
      <w:r>
        <w:rPr>
          <w:rFonts w:hint="eastAsia"/>
          <w:spacing w:val="12"/>
          <w:sz w:val="24"/>
          <w:highlight w:val="none"/>
          <w:shd w:val="clear" w:color="auto" w:fill="auto"/>
          <w:fitText w:val="2880" w:id="1"/>
        </w:rPr>
        <w:t>３０八介高第１０８６</w:t>
      </w:r>
      <w:r>
        <w:rPr>
          <w:rFonts w:hint="eastAsia"/>
          <w:spacing w:val="6"/>
          <w:sz w:val="24"/>
          <w:highlight w:val="none"/>
          <w:shd w:val="clear" w:color="auto" w:fill="auto"/>
          <w:fitText w:val="2880" w:id="1"/>
        </w:rPr>
        <w:t>号</w:t>
      </w:r>
    </w:p>
    <w:p>
      <w:pPr>
        <w:pStyle w:val="0"/>
        <w:jc w:val="right"/>
        <w:rPr>
          <w:rFonts w:hint="eastAsia"/>
          <w:sz w:val="24"/>
          <w:highlight w:val="none"/>
          <w:shd w:val="clear" w:color="auto" w:fill="auto"/>
        </w:rPr>
      </w:pPr>
      <w:r>
        <w:rPr>
          <w:rFonts w:hint="eastAsia"/>
          <w:spacing w:val="26"/>
          <w:sz w:val="24"/>
          <w:highlight w:val="none"/>
          <w:shd w:val="clear" w:color="auto" w:fill="auto"/>
          <w:fitText w:val="2880" w:id="2"/>
        </w:rPr>
        <w:t>平成３１年１月２３</w:t>
      </w:r>
      <w:r>
        <w:rPr>
          <w:rFonts w:hint="eastAsia"/>
          <w:spacing w:val="6"/>
          <w:sz w:val="24"/>
          <w:highlight w:val="none"/>
          <w:shd w:val="clear" w:color="auto" w:fill="auto"/>
          <w:fitText w:val="2880" w:id="2"/>
        </w:rPr>
        <w:t>日</w:t>
      </w:r>
    </w:p>
    <w:p>
      <w:pPr>
        <w:pStyle w:val="0"/>
        <w:rPr>
          <w:rFonts w:hint="eastAsia"/>
          <w:sz w:val="24"/>
          <w:highlight w:val="none"/>
          <w:shd w:val="clear" w:color="auto" w:fill="auto"/>
        </w:rPr>
      </w:pPr>
    </w:p>
    <w:p>
      <w:pPr>
        <w:pStyle w:val="0"/>
        <w:rPr>
          <w:rFonts w:hint="eastAsia"/>
          <w:sz w:val="24"/>
          <w:highlight w:val="none"/>
          <w:shd w:val="clear" w:color="auto" w:fill="auto"/>
        </w:rPr>
      </w:pPr>
      <w:r>
        <w:rPr>
          <w:rFonts w:hint="eastAsia"/>
          <w:sz w:val="24"/>
          <w:highlight w:val="none"/>
          <w:shd w:val="clear" w:color="auto" w:fill="auto"/>
        </w:rPr>
        <w:t>指定第１号通所事業所管理者　様　</w:t>
      </w:r>
    </w:p>
    <w:p>
      <w:pPr>
        <w:pStyle w:val="0"/>
        <w:rPr>
          <w:rFonts w:hint="eastAsia"/>
          <w:sz w:val="24"/>
          <w:highlight w:val="none"/>
          <w:shd w:val="clear" w:color="auto" w:fill="auto"/>
        </w:rPr>
      </w:pPr>
      <w:r>
        <w:rPr>
          <w:rFonts w:hint="eastAsia"/>
          <w:sz w:val="24"/>
          <w:highlight w:val="none"/>
          <w:shd w:val="clear" w:color="auto" w:fill="auto"/>
        </w:rPr>
        <w:t>　</w:t>
      </w:r>
    </w:p>
    <w:p>
      <w:pPr>
        <w:pStyle w:val="0"/>
        <w:ind w:firstLine="5280" w:firstLineChars="2200"/>
        <w:rPr>
          <w:rFonts w:hint="eastAsia"/>
          <w:sz w:val="24"/>
          <w:highlight w:val="none"/>
          <w:shd w:val="clear" w:color="auto" w:fill="auto"/>
        </w:rPr>
      </w:pPr>
      <w:r>
        <w:rPr>
          <w:rFonts w:hint="eastAsia"/>
          <w:sz w:val="24"/>
          <w:highlight w:val="none"/>
          <w:shd w:val="clear" w:color="auto" w:fill="auto"/>
        </w:rPr>
        <w:t>八女市長　三田村　統　之</w:t>
      </w:r>
    </w:p>
    <w:p>
      <w:pPr>
        <w:pStyle w:val="0"/>
        <w:ind w:firstLine="5040" w:firstLineChars="2100"/>
        <w:rPr>
          <w:rFonts w:hint="eastAsia"/>
          <w:sz w:val="24"/>
          <w:highlight w:val="none"/>
          <w:shd w:val="clear" w:color="auto" w:fill="auto"/>
        </w:rPr>
      </w:pPr>
      <w:r>
        <w:rPr>
          <w:rFonts w:hint="eastAsia"/>
          <w:sz w:val="24"/>
          <w:highlight w:val="none"/>
          <w:shd w:val="clear" w:color="auto" w:fill="auto"/>
        </w:rPr>
        <w:t>（介護長寿課高齢者支援係）</w:t>
      </w: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r>
        <w:rPr>
          <w:rFonts w:hint="eastAsia"/>
          <w:sz w:val="24"/>
          <w:highlight w:val="none"/>
          <w:shd w:val="clear" w:color="auto" w:fill="auto"/>
        </w:rPr>
        <w:t>　　八女市介護予防・日常生活支援総合事業における指定通所型サービスに</w:t>
      </w:r>
    </w:p>
    <w:p>
      <w:pPr>
        <w:pStyle w:val="0"/>
        <w:ind w:leftChars="0" w:firstLine="0" w:firstLineChars="0"/>
        <w:rPr>
          <w:rFonts w:hint="eastAsia"/>
          <w:sz w:val="24"/>
          <w:highlight w:val="none"/>
          <w:shd w:val="clear" w:color="auto" w:fill="auto"/>
        </w:rPr>
      </w:pPr>
      <w:r>
        <w:rPr>
          <w:rFonts w:hint="eastAsia"/>
          <w:sz w:val="24"/>
          <w:highlight w:val="none"/>
          <w:shd w:val="clear" w:color="auto" w:fill="auto"/>
        </w:rPr>
        <w:t>　　係る実施上の留意事項について（通知）</w:t>
      </w:r>
    </w:p>
    <w:p>
      <w:pPr>
        <w:pStyle w:val="0"/>
        <w:ind w:left="0" w:leftChars="0" w:firstLine="960" w:firstLineChars="40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r>
        <w:rPr>
          <w:rFonts w:hint="eastAsia"/>
          <w:sz w:val="24"/>
          <w:highlight w:val="none"/>
          <w:shd w:val="clear" w:color="auto" w:fill="auto"/>
        </w:rPr>
        <w:t>　標記について、八女市では、要支援認定者及び事業対象者に対する閉じこもり予防を目的とした指定型通所事業として、平成３１年４月１日から新たに基準緩和型通所サービス（通所サービスＡ）を開始するとともに、従来の介護予防通所介護相当サービスについても見直しを行いました。</w:t>
      </w:r>
    </w:p>
    <w:p>
      <w:pPr>
        <w:pStyle w:val="0"/>
        <w:ind w:left="0" w:leftChars="0" w:firstLine="240" w:firstLineChars="100"/>
        <w:rPr>
          <w:rFonts w:hint="eastAsia"/>
          <w:sz w:val="24"/>
          <w:highlight w:val="none"/>
          <w:shd w:val="clear" w:color="auto" w:fill="auto"/>
        </w:rPr>
      </w:pPr>
      <w:r>
        <w:rPr>
          <w:rFonts w:hint="eastAsia"/>
          <w:sz w:val="24"/>
          <w:highlight w:val="none"/>
          <w:shd w:val="clear" w:color="auto" w:fill="auto"/>
        </w:rPr>
        <w:t>つきましては、八女市介護予防・日常生活支援総合事業における通所型サービスを実施するにあたっての留意事項を別紙のとおり通知しますので、ご確認の上、当該事業を実施するにあたりご留意いただきますようお願いします。</w:t>
      </w: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bookmarkStart w:id="0" w:name="_GoBack"/>
      <w:bookmarkEnd w:id="0"/>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p>
      <w:pPr>
        <w:pStyle w:val="0"/>
        <w:ind w:leftChars="0" w:firstLine="0" w:firstLineChars="0"/>
        <w:rPr>
          <w:rFonts w:hint="eastAsia"/>
          <w:sz w:val="24"/>
          <w:highlight w:val="none"/>
          <w:shd w:val="clear" w:color="auto" w:fill="auto"/>
        </w:rPr>
      </w:pPr>
    </w:p>
    <w:tbl>
      <w:tblPr>
        <w:tblStyle w:val="17"/>
        <w:tblpPr w:leftFromText="142" w:rightFromText="142" w:topFromText="0" w:bottomFromText="0" w:vertAnchor="text" w:horzAnchor="text" w:tblpX="4826" w:tblpY="8"/>
        <w:tblW w:w="0" w:type="auto"/>
        <w:tblLayout w:type="fixed"/>
        <w:tblLook w:firstRow="1" w:lastRow="0" w:firstColumn="1" w:lastColumn="0" w:noHBand="0" w:noVBand="1" w:val="04A0"/>
      </w:tblPr>
      <w:tblGrid>
        <w:gridCol w:w="4200"/>
      </w:tblGrid>
      <w:tr>
        <w:trPr>
          <w:trHeight w:val="1583" w:hRule="atLeast"/>
        </w:trPr>
        <w:tc>
          <w:tcPr>
            <w:tcW w:w="4200" w:type="dxa"/>
            <w:vAlign w:val="top"/>
          </w:tcPr>
          <w:p>
            <w:pPr>
              <w:pStyle w:val="0"/>
              <w:rPr>
                <w:rFonts w:hint="eastAsia"/>
                <w:sz w:val="24"/>
                <w:highlight w:val="none"/>
                <w:shd w:val="clear" w:color="auto" w:fill="auto"/>
              </w:rPr>
            </w:pPr>
            <w:r>
              <w:rPr>
                <w:rFonts w:hint="eastAsia"/>
                <w:sz w:val="24"/>
                <w:highlight w:val="none"/>
                <w:shd w:val="clear" w:color="auto" w:fill="auto"/>
              </w:rPr>
              <w:t>【お問合せ先】</w:t>
            </w:r>
          </w:p>
          <w:p>
            <w:pPr>
              <w:pStyle w:val="0"/>
              <w:rPr>
                <w:rFonts w:hint="eastAsia"/>
                <w:sz w:val="24"/>
                <w:highlight w:val="none"/>
                <w:shd w:val="clear" w:color="auto" w:fill="auto"/>
              </w:rPr>
            </w:pPr>
            <w:r>
              <w:rPr>
                <w:rFonts w:hint="eastAsia"/>
                <w:sz w:val="24"/>
                <w:highlight w:val="none"/>
                <w:shd w:val="clear" w:color="auto" w:fill="auto"/>
              </w:rPr>
              <w:t>八女市役所健康福祉部介護長寿課</w:t>
            </w:r>
          </w:p>
          <w:p>
            <w:pPr>
              <w:pStyle w:val="0"/>
              <w:rPr>
                <w:rFonts w:hint="eastAsia"/>
                <w:sz w:val="24"/>
                <w:highlight w:val="none"/>
                <w:shd w:val="clear" w:color="auto" w:fill="auto"/>
              </w:rPr>
            </w:pPr>
            <w:r>
              <w:rPr>
                <w:rFonts w:hint="eastAsia"/>
                <w:sz w:val="24"/>
                <w:highlight w:val="none"/>
                <w:shd w:val="clear" w:color="auto" w:fill="auto"/>
              </w:rPr>
              <w:t>高齢者支援係　担当：齊藤</w:t>
            </w:r>
          </w:p>
          <w:p>
            <w:pPr>
              <w:pStyle w:val="0"/>
              <w:rPr>
                <w:rFonts w:hint="eastAsia"/>
                <w:sz w:val="24"/>
                <w:highlight w:val="none"/>
                <w:shd w:val="clear" w:color="auto" w:fill="auto"/>
              </w:rPr>
            </w:pPr>
            <w:r>
              <w:rPr>
                <w:rFonts w:hint="eastAsia"/>
                <w:sz w:val="24"/>
                <w:highlight w:val="none"/>
                <w:shd w:val="clear" w:color="auto" w:fill="auto"/>
              </w:rPr>
              <w:t>電話：０９４３－２３－１３０８</w:t>
            </w:r>
          </w:p>
        </w:tc>
      </w:tr>
    </w:tbl>
    <w:p>
      <w:pPr>
        <w:pStyle w:val="0"/>
        <w:rPr>
          <w:rFonts w:hint="eastAsia" w:ascii="ＭＳ ゴシック" w:hAnsi="ＭＳ ゴシック" w:eastAsia="ＭＳ ゴシック"/>
          <w:sz w:val="24"/>
          <w:highlight w:val="none"/>
          <w:shd w:val="clear" w:color="auto" w:fill="auto"/>
        </w:rPr>
      </w:pPr>
      <w:r>
        <w:rPr>
          <w:rFonts w:hint="eastAsia" w:ascii="ＭＳ ゴシック" w:hAnsi="ＭＳ ゴシック" w:eastAsia="ＭＳ ゴシック"/>
          <w:sz w:val="24"/>
          <w:highlight w:val="none"/>
          <w:shd w:val="clear" w:color="auto" w:fill="auto"/>
        </w:rPr>
        <w:t>　</w:t>
      </w:r>
    </w:p>
    <w:p>
      <w:pPr>
        <w:pStyle w:val="0"/>
        <w:rPr>
          <w:rFonts w:hint="eastAsia"/>
          <w:sz w:val="24"/>
          <w:highlight w:val="none"/>
          <w:shd w:val="clear" w:color="auto" w:fill="auto"/>
        </w:rPr>
      </w:pPr>
      <w:r>
        <w:rPr>
          <w:rFonts w:hint="eastAsia"/>
          <w:sz w:val="24"/>
          <w:highlight w:val="none"/>
          <w:shd w:val="clear" w:color="auto" w:fill="auto"/>
        </w:rPr>
        <w:t>　</w:t>
      </w:r>
    </w:p>
    <w:p>
      <w:pPr>
        <w:pStyle w:val="0"/>
        <w:rPr>
          <w:rFonts w:hint="eastAsia"/>
          <w:sz w:val="24"/>
          <w:highlight w:val="none"/>
          <w:shd w:val="clear" w:color="auto" w:fill="auto"/>
        </w:rPr>
      </w:pPr>
    </w:p>
    <w:p>
      <w:pPr>
        <w:pStyle w:val="0"/>
        <w:rPr>
          <w:rFonts w:hint="eastAsia"/>
          <w:sz w:val="24"/>
          <w:highlight w:val="none"/>
          <w:shd w:val="clear" w:color="auto" w:fill="auto"/>
        </w:rPr>
      </w:pPr>
    </w:p>
    <w:p>
      <w:pPr>
        <w:pStyle w:val="0"/>
        <w:rPr>
          <w:rFonts w:hint="eastAsia"/>
          <w:sz w:val="24"/>
          <w:highlight w:val="none"/>
          <w:shd w:val="clear" w:color="auto" w:fill="auto"/>
        </w:rPr>
      </w:pPr>
    </w:p>
    <w:p>
      <w:pPr>
        <w:pStyle w:val="0"/>
        <w:adjustRightInd w:val="0"/>
        <w:snapToGrid w:val="0"/>
        <w:ind w:left="0" w:leftChars="0" w:firstLine="1120" w:firstLineChars="400"/>
        <w:rPr>
          <w:rFonts w:hint="eastAsia"/>
          <w:sz w:val="28"/>
          <w:highlight w:val="none"/>
          <w:shd w:val="clear" w:color="auto" w:fill="auto"/>
        </w:rPr>
      </w:pPr>
      <w:r>
        <w:rPr>
          <w:rFonts w:hint="eastAsia"/>
          <w:sz w:val="28"/>
          <w:highlight w:val="none"/>
          <w:shd w:val="clear" w:color="auto" w:fill="auto"/>
        </w:rPr>
        <w:t>八女市介護予防・日常生活支援総合事業における</w:t>
      </w:r>
    </w:p>
    <w:p>
      <w:pPr>
        <w:pStyle w:val="0"/>
        <w:adjustRightInd w:val="0"/>
        <w:snapToGrid w:val="0"/>
        <w:ind w:left="0" w:leftChars="0" w:firstLine="1120" w:firstLineChars="400"/>
        <w:rPr>
          <w:rFonts w:hint="eastAsia"/>
          <w:sz w:val="24"/>
          <w:highlight w:val="none"/>
          <w:shd w:val="clear" w:color="auto" w:fill="auto"/>
        </w:rPr>
      </w:pPr>
      <w:r>
        <w:rPr>
          <w:rFonts w:hint="eastAsia"/>
          <w:sz w:val="28"/>
          <w:highlight w:val="none"/>
          <w:shd w:val="clear" w:color="auto" w:fill="auto"/>
        </w:rPr>
        <w:t>指定通所型サービスに係る実施上の留意事項</w:t>
      </w:r>
    </w:p>
    <w:p>
      <w:pPr>
        <w:pStyle w:val="0"/>
        <w:jc w:val="left"/>
        <w:rPr>
          <w:rFonts w:hint="eastAsia"/>
          <w:sz w:val="24"/>
          <w:highlight w:val="none"/>
          <w:shd w:val="clear" w:color="auto" w:fill="auto"/>
        </w:rPr>
      </w:pPr>
    </w:p>
    <w:p>
      <w:pPr>
        <w:pStyle w:val="0"/>
        <w:jc w:val="left"/>
        <w:rPr>
          <w:rFonts w:hint="eastAsia"/>
          <w:sz w:val="24"/>
          <w:highlight w:val="none"/>
          <w:shd w:val="clear" w:color="auto" w:fill="auto"/>
        </w:rPr>
      </w:pPr>
      <w:r>
        <w:rPr>
          <w:rFonts w:hint="eastAsia" w:ascii="ＭＳ ゴシック" w:hAnsi="ＭＳ ゴシック" w:eastAsia="ＭＳ ゴシック"/>
          <w:sz w:val="24"/>
          <w:highlight w:val="none"/>
          <w:shd w:val="clear" w:color="auto" w:fill="auto"/>
        </w:rPr>
        <w:t>１．指定通所型サービスの対象者</w:t>
      </w:r>
    </w:p>
    <w:p>
      <w:pPr>
        <w:pStyle w:val="0"/>
        <w:jc w:val="left"/>
        <w:rPr>
          <w:rFonts w:hint="eastAsia"/>
          <w:sz w:val="24"/>
          <w:highlight w:val="none"/>
          <w:shd w:val="clear" w:color="auto" w:fill="auto"/>
        </w:rPr>
      </w:pPr>
    </w:p>
    <w:p>
      <w:pPr>
        <w:pStyle w:val="0"/>
        <w:ind w:left="240" w:hanging="240" w:hangingChars="100"/>
        <w:rPr>
          <w:rFonts w:hint="eastAsia" w:asciiTheme="minorEastAsia" w:hAnsiTheme="minorEastAsia"/>
          <w:sz w:val="24"/>
          <w:highlight w:val="none"/>
          <w:shd w:val="clear" w:color="auto" w:fill="auto"/>
        </w:rPr>
      </w:pPr>
      <w:r>
        <w:rPr>
          <w:rFonts w:hint="eastAsia"/>
          <w:sz w:val="24"/>
          <w:highlight w:val="none"/>
          <w:shd w:val="clear" w:color="auto" w:fill="auto"/>
        </w:rPr>
        <w:t>　　八女市介護予防・日常生活支援総合事業における指定通所型サービスの各事業の対象者は、平成３１年４月１日から以下のとおりとする。</w:t>
      </w:r>
    </w:p>
    <w:tbl>
      <w:tblPr>
        <w:tblStyle w:val="17"/>
        <w:tblW w:w="0" w:type="auto"/>
        <w:jc w:val="left"/>
        <w:tblInd w:w="603" w:type="dxa"/>
        <w:tblLayout w:type="fixed"/>
        <w:tblLook w:firstRow="1" w:lastRow="0" w:firstColumn="1" w:lastColumn="0" w:noHBand="0" w:noVBand="1" w:val="04A0"/>
      </w:tblPr>
      <w:tblGrid>
        <w:gridCol w:w="2122"/>
        <w:gridCol w:w="6295"/>
      </w:tblGrid>
      <w:tr>
        <w:trPr>
          <w:trHeight w:val="885" w:hRule="atLeast"/>
        </w:trPr>
        <w:tc>
          <w:tcPr>
            <w:tcW w:w="2122" w:type="dxa"/>
            <w:vAlign w:val="center"/>
          </w:tcPr>
          <w:p>
            <w:pPr>
              <w:pStyle w:val="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介護予防</w:t>
            </w:r>
          </w:p>
          <w:p>
            <w:pPr>
              <w:pStyle w:val="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通所介護</w:t>
            </w:r>
          </w:p>
          <w:p>
            <w:pPr>
              <w:pStyle w:val="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相当サービス</w:t>
            </w:r>
          </w:p>
        </w:tc>
        <w:tc>
          <w:tcPr>
            <w:tcW w:w="6295" w:type="dxa"/>
            <w:vAlign w:val="center"/>
          </w:tcPr>
          <w:p>
            <w:pPr>
              <w:pStyle w:val="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以下のいずれかに該当する要支援認定者（要支援１又は要支援２）</w:t>
            </w:r>
          </w:p>
          <w:p>
            <w:pPr>
              <w:pStyle w:val="0"/>
              <w:ind w:left="240" w:hanging="240" w:hangingChars="10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①通所サービス利用中において、移動、食事、入浴、排せつ等のいずれかの行為において、個別的な身体介助（単なる声かけ・見守りを含まない）を要する者</w:t>
            </w:r>
          </w:p>
          <w:p>
            <w:pPr>
              <w:pStyle w:val="0"/>
              <w:ind w:left="210" w:leftChars="100" w:firstLine="0" w:firstLineChars="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※別紙「通所型サービスにおける身体介助区分」参照</w:t>
            </w:r>
          </w:p>
          <w:p>
            <w:pPr>
              <w:pStyle w:val="0"/>
              <w:ind w:left="240" w:hanging="240" w:hangingChars="10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②栄養改善サービスを要する者（当該加算対象者）</w:t>
            </w:r>
          </w:p>
          <w:p>
            <w:pPr>
              <w:pStyle w:val="0"/>
              <w:ind w:left="240" w:hanging="240" w:hangingChars="10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③口腔機能向上サービスを要する者（当該加算対象者）</w:t>
            </w:r>
          </w:p>
        </w:tc>
      </w:tr>
      <w:tr>
        <w:trPr>
          <w:trHeight w:val="885" w:hRule="atLeast"/>
        </w:trPr>
        <w:tc>
          <w:tcPr>
            <w:tcW w:w="2122" w:type="dxa"/>
            <w:vAlign w:val="center"/>
          </w:tcPr>
          <w:p>
            <w:pPr>
              <w:pStyle w:val="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通所サービスＡ</w:t>
            </w:r>
          </w:p>
        </w:tc>
        <w:tc>
          <w:tcPr>
            <w:tcW w:w="6295" w:type="dxa"/>
            <w:vAlign w:val="center"/>
          </w:tcPr>
          <w:p>
            <w:pPr>
              <w:pStyle w:val="0"/>
              <w:jc w:val="left"/>
              <w:rPr>
                <w:rFonts w:hint="eastAsia" w:asciiTheme="majorEastAsia" w:hAnsiTheme="majorEastAsia" w:eastAsiaTheme="majorEastAsia"/>
                <w:sz w:val="24"/>
                <w:highlight w:val="none"/>
                <w:shd w:val="clear" w:color="auto" w:fill="auto"/>
              </w:rPr>
            </w:pPr>
            <w:r>
              <w:rPr>
                <w:rFonts w:hint="eastAsia" w:asciiTheme="majorEastAsia" w:hAnsiTheme="majorEastAsia" w:eastAsiaTheme="majorEastAsia"/>
                <w:sz w:val="24"/>
                <w:highlight w:val="none"/>
                <w:shd w:val="clear" w:color="auto" w:fill="auto"/>
              </w:rPr>
              <w:t>閉じこもり予防が必要な事業対象者、又は要支援認定者（要支援１、又は要支援２）</w:t>
            </w:r>
          </w:p>
        </w:tc>
      </w:tr>
    </w:tbl>
    <w:p>
      <w:pPr>
        <w:pStyle w:val="0"/>
        <w:ind w:left="240" w:hanging="240" w:hangingChars="100"/>
        <w:rPr>
          <w:rFonts w:hint="eastAsia"/>
          <w:sz w:val="24"/>
          <w:highlight w:val="none"/>
          <w:shd w:val="clear" w:color="auto" w:fill="auto"/>
        </w:rPr>
      </w:pPr>
      <w:r>
        <w:rPr>
          <w:rFonts w:hint="eastAsia"/>
          <w:sz w:val="24"/>
          <w:highlight w:val="none"/>
          <w:shd w:val="clear" w:color="auto" w:fill="auto"/>
        </w:rPr>
        <w:t>　　これに伴い、</w:t>
      </w:r>
      <w:r>
        <w:rPr>
          <w:rFonts w:hint="eastAsia"/>
          <w:sz w:val="24"/>
          <w:highlight w:val="none"/>
          <w:u w:val="single" w:color="auto"/>
          <w:shd w:val="clear" w:color="auto" w:fill="auto"/>
        </w:rPr>
        <w:t>平成３１年３月まで介護予防通所介護相当サービスを利用している要支援認定者等であっても、身体介助又は専門的な支援を要しない利用者については、介護予防通所介護相当サービスの対象者とならない</w:t>
      </w:r>
      <w:r>
        <w:rPr>
          <w:rFonts w:hint="eastAsia"/>
          <w:sz w:val="24"/>
          <w:highlight w:val="none"/>
          <w:shd w:val="clear" w:color="auto" w:fill="auto"/>
        </w:rPr>
        <w:t>ため留意すること。</w:t>
      </w:r>
    </w:p>
    <w:p>
      <w:pPr>
        <w:pStyle w:val="0"/>
        <w:jc w:val="left"/>
        <w:rPr>
          <w:rFonts w:hint="eastAsia"/>
          <w:sz w:val="24"/>
          <w:highlight w:val="none"/>
          <w:shd w:val="clear" w:color="auto" w:fill="auto"/>
        </w:rPr>
      </w:pPr>
    </w:p>
    <w:p>
      <w:pPr>
        <w:pStyle w:val="0"/>
        <w:jc w:val="left"/>
        <w:rPr>
          <w:rFonts w:hint="eastAsia"/>
          <w:sz w:val="24"/>
          <w:highlight w:val="none"/>
          <w:shd w:val="clear" w:color="auto" w:fill="auto"/>
        </w:rPr>
      </w:pPr>
      <w:r>
        <w:rPr>
          <w:rFonts w:hint="eastAsia" w:ascii="ＭＳ ゴシック" w:hAnsi="ＭＳ ゴシック" w:eastAsia="ＭＳ ゴシック"/>
          <w:sz w:val="24"/>
          <w:highlight w:val="none"/>
          <w:shd w:val="clear" w:color="auto" w:fill="auto"/>
        </w:rPr>
        <w:t>２．指定通所型サービスの提供にあたっての具体的取扱いについて</w:t>
      </w:r>
    </w:p>
    <w:p>
      <w:pPr>
        <w:pStyle w:val="0"/>
        <w:jc w:val="left"/>
        <w:rPr>
          <w:rFonts w:hint="eastAsia"/>
          <w:sz w:val="24"/>
          <w:highlight w:val="none"/>
          <w:shd w:val="clear" w:color="auto" w:fill="auto"/>
        </w:rPr>
      </w:pPr>
    </w:p>
    <w:p>
      <w:pPr>
        <w:pStyle w:val="0"/>
        <w:ind w:left="240" w:hanging="240" w:hangingChars="100"/>
        <w:rPr>
          <w:rFonts w:hint="eastAsia"/>
          <w:sz w:val="24"/>
          <w:highlight w:val="none"/>
          <w:shd w:val="clear" w:color="auto" w:fill="auto"/>
        </w:rPr>
      </w:pPr>
      <w:r>
        <w:rPr>
          <w:rFonts w:hint="eastAsia"/>
          <w:sz w:val="24"/>
          <w:highlight w:val="none"/>
          <w:shd w:val="clear" w:color="auto" w:fill="auto"/>
        </w:rPr>
        <w:t>　　指定通所型サービスの提供にあたって行う具体的取扱いについては、</w:t>
      </w:r>
      <w:r>
        <w:rPr>
          <w:rFonts w:hint="default" w:ascii="ＭＳ 明朝" w:hAnsi="ＭＳ 明朝" w:eastAsia="ＭＳ 明朝"/>
          <w:b w:val="0"/>
          <w:i w:val="0"/>
          <w:strike w:val="0"/>
          <w:color w:val="auto"/>
          <w:sz w:val="24"/>
          <w:highlight w:val="none"/>
          <w:u w:val="none" w:color="auto"/>
          <w:shd w:val="clear" w:color="auto" w:fill="auto"/>
        </w:rPr>
        <w:t>八女市介護予防・日常生活支援総合事業</w:t>
      </w:r>
      <w:r>
        <w:rPr>
          <w:rFonts w:hint="eastAsia" w:ascii="ＭＳ 明朝" w:hAnsi="ＭＳ 明朝" w:eastAsia="ＭＳ 明朝"/>
          <w:b w:val="0"/>
          <w:i w:val="0"/>
          <w:strike w:val="0"/>
          <w:color w:val="auto"/>
          <w:sz w:val="24"/>
          <w:highlight w:val="none"/>
          <w:u w:val="none" w:color="auto"/>
          <w:shd w:val="clear" w:color="auto" w:fill="auto"/>
        </w:rPr>
        <w:t>における指定第１号事業の人員、設備及び運営に関する基準等を定める</w:t>
      </w:r>
      <w:r>
        <w:rPr>
          <w:rFonts w:hint="default" w:ascii="ＭＳ 明朝" w:hAnsi="ＭＳ 明朝" w:eastAsia="ＭＳ 明朝"/>
          <w:b w:val="0"/>
          <w:i w:val="0"/>
          <w:strike w:val="0"/>
          <w:color w:val="auto"/>
          <w:sz w:val="24"/>
          <w:highlight w:val="none"/>
          <w:u w:val="none" w:color="auto"/>
          <w:shd w:val="clear" w:color="auto" w:fill="auto"/>
        </w:rPr>
        <w:t>要綱</w:t>
      </w:r>
      <w:r>
        <w:rPr>
          <w:rFonts w:hint="eastAsia" w:ascii="ＭＳ 明朝" w:hAnsi="ＭＳ 明朝" w:eastAsia="ＭＳ 明朝"/>
          <w:b w:val="0"/>
          <w:i w:val="0"/>
          <w:strike w:val="0"/>
          <w:color w:val="auto"/>
          <w:sz w:val="24"/>
          <w:highlight w:val="none"/>
          <w:u w:val="none" w:color="auto"/>
          <w:shd w:val="clear" w:color="auto" w:fill="auto"/>
        </w:rPr>
        <w:t>第５８条又は第６９条に定めるところによるもののほか、</w:t>
      </w:r>
      <w:r>
        <w:rPr>
          <w:rFonts w:hint="eastAsia"/>
          <w:sz w:val="24"/>
          <w:highlight w:val="none"/>
          <w:shd w:val="clear" w:color="auto" w:fill="auto"/>
        </w:rPr>
        <w:t>以下の手順によるものとする。</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１）利用申込者に係る地域包括支援センターと共同して当該利用申込者が介護予防通所介護相当サービス若しくは通所サービスＡのいずれのサービスの対象者であるか分析を行い、通所事業者は当該利用申込者の心身の状況等に応じた通所型サービス計画を作成すること。</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（２）介護予防通所介護相当サービス計画の作成にあたっては、当該計画に記載する「具体的なサービス内容」に当該利用者に提供する身体介助又は専門的支援の内容等を記載すること。</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（３）サービスの提供にあたっては、当該通所型サービス計画を踏まえつつ、当日の利用者の心身の状況等に応じ、効率的かつ柔軟なサービス提供に努めること。</w:t>
      </w:r>
    </w:p>
    <w:p>
      <w:pPr>
        <w:pStyle w:val="0"/>
        <w:jc w:val="left"/>
        <w:rPr>
          <w:rFonts w:hint="eastAsia"/>
          <w:sz w:val="24"/>
          <w:highlight w:val="none"/>
          <w:shd w:val="clear" w:color="auto" w:fill="auto"/>
        </w:rPr>
      </w:pPr>
      <w:r>
        <w:rPr>
          <w:rFonts w:hint="eastAsia" w:ascii="ＭＳ ゴシック" w:hAnsi="ＭＳ ゴシック" w:eastAsia="ＭＳ ゴシック"/>
          <w:sz w:val="24"/>
          <w:highlight w:val="none"/>
          <w:shd w:val="clear" w:color="auto" w:fill="auto"/>
        </w:rPr>
        <w:t>３．介護予防通所介護相当サービス費の算定に関する留意事項</w:t>
      </w:r>
    </w:p>
    <w:p>
      <w:pPr>
        <w:pStyle w:val="0"/>
        <w:jc w:val="left"/>
        <w:rPr>
          <w:rFonts w:hint="eastAsia"/>
          <w:sz w:val="24"/>
          <w:highlight w:val="none"/>
          <w:shd w:val="clear" w:color="auto" w:fill="auto"/>
        </w:rPr>
      </w:pPr>
    </w:p>
    <w:p>
      <w:pPr>
        <w:pStyle w:val="0"/>
        <w:ind w:left="240" w:hanging="240" w:hangingChars="100"/>
        <w:rPr>
          <w:rFonts w:hint="eastAsia"/>
          <w:sz w:val="24"/>
          <w:highlight w:val="none"/>
          <w:shd w:val="clear" w:color="auto" w:fill="auto"/>
        </w:rPr>
      </w:pPr>
      <w:r>
        <w:rPr>
          <w:rFonts w:hint="eastAsia"/>
          <w:sz w:val="24"/>
          <w:highlight w:val="none"/>
          <w:shd w:val="clear" w:color="auto" w:fill="auto"/>
        </w:rPr>
        <w:t>　　</w:t>
      </w:r>
      <w:r>
        <w:rPr>
          <w:rFonts w:hint="default" w:ascii="ＭＳ 明朝" w:hAnsi="ＭＳ 明朝" w:eastAsia="ＭＳ 明朝"/>
          <w:b w:val="0"/>
          <w:i w:val="0"/>
          <w:strike w:val="0"/>
          <w:color w:val="000000" w:themeColor="text1"/>
          <w:sz w:val="24"/>
          <w:highlight w:val="none"/>
          <w:u w:val="none" w:color="auto"/>
          <w:shd w:val="clear" w:color="auto" w:fill="auto"/>
        </w:rPr>
        <w:t>介護予防通所介護相当サービス</w:t>
      </w:r>
      <w:r>
        <w:rPr>
          <w:rFonts w:hint="eastAsia" w:ascii="ＭＳ 明朝" w:hAnsi="ＭＳ 明朝" w:eastAsia="ＭＳ 明朝"/>
          <w:b w:val="0"/>
          <w:i w:val="0"/>
          <w:strike w:val="0"/>
          <w:color w:val="000000" w:themeColor="text1"/>
          <w:sz w:val="24"/>
          <w:highlight w:val="none"/>
          <w:u w:val="none" w:color="auto"/>
          <w:shd w:val="clear" w:color="auto" w:fill="auto"/>
        </w:rPr>
        <w:t>に要する第１号事業支給費の額の算定に関する留意事項については、</w:t>
      </w:r>
      <w:r>
        <w:rPr>
          <w:rFonts w:hint="eastAsia"/>
          <w:color w:val="000000" w:themeColor="text1"/>
          <w:sz w:val="24"/>
          <w:highlight w:val="none"/>
          <w:shd w:val="clear" w:color="auto" w:fill="auto"/>
        </w:rPr>
        <w:t>平成１８年３月１７日付け厚生労働省老健局計画・振興・老人保健課長連名通知「指定介護予防サービスに要する費用の額の算定に関する基準の策定に伴う実施上の留意事項について」に準ずるほか、以下によるものとする。</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（１）介護予防通所介護相当サービス費の算定について</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①　利用者が一の指定介護予防通所介護相当サービス事業所において指定介護予防通所介護相当サービスを受けている間は、通所サービスＡ費及び当該事業所以外が行った介護予防通所介護相当サービス費は算定しない。</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②　介護予防通所介護相当サービスは、当日の利用者の心身の状況等によって、当該計画に位置付けられた身体介助若しくは専門的支援に係るサービスが提供されなかった場合においても、介護予防通所介護相当サービス費を算定することができる。</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ただし、この場合において、当該サービスが提供しえなかった要因が一時的なものではないと判断されるときは、利用者の心身の状況等の的確な把握を行った上で改めてアセスメントを行い、必要に応じて通所サービスＡへの移行を踏まえた通所型サービス計画の変更を行うこと。</w:t>
      </w:r>
    </w:p>
    <w:p>
      <w:pPr>
        <w:pStyle w:val="0"/>
        <w:ind w:left="0" w:leftChars="0" w:hanging="480" w:hangingChars="200"/>
        <w:rPr>
          <w:rFonts w:hint="eastAsia"/>
          <w:sz w:val="24"/>
          <w:highlight w:val="none"/>
          <w:shd w:val="clear" w:color="auto" w:fill="auto"/>
        </w:rPr>
      </w:pPr>
    </w:p>
    <w:p>
      <w:pPr>
        <w:pStyle w:val="0"/>
        <w:jc w:val="left"/>
        <w:rPr>
          <w:rFonts w:hint="eastAsia"/>
          <w:sz w:val="24"/>
          <w:highlight w:val="none"/>
          <w:shd w:val="clear" w:color="auto" w:fill="auto"/>
        </w:rPr>
      </w:pPr>
      <w:r>
        <w:rPr>
          <w:rFonts w:hint="eastAsia" w:ascii="ＭＳ ゴシック" w:hAnsi="ＭＳ ゴシック" w:eastAsia="ＭＳ ゴシック"/>
          <w:sz w:val="24"/>
          <w:highlight w:val="none"/>
          <w:shd w:val="clear" w:color="auto" w:fill="auto"/>
        </w:rPr>
        <w:t>４．通所サービスＡ費の算定に関する留意事項</w:t>
      </w:r>
    </w:p>
    <w:p>
      <w:pPr>
        <w:pStyle w:val="0"/>
        <w:jc w:val="left"/>
        <w:rPr>
          <w:rFonts w:hint="eastAsia"/>
          <w:sz w:val="24"/>
          <w:highlight w:val="none"/>
          <w:shd w:val="clear" w:color="auto" w:fill="auto"/>
        </w:rPr>
      </w:pPr>
    </w:p>
    <w:p>
      <w:pPr>
        <w:pStyle w:val="0"/>
        <w:ind w:left="210" w:leftChars="100" w:firstLine="240" w:firstLineChars="100"/>
        <w:rPr>
          <w:rFonts w:hint="eastAsia"/>
          <w:sz w:val="24"/>
          <w:highlight w:val="none"/>
          <w:shd w:val="clear" w:color="auto" w:fill="auto"/>
        </w:rPr>
      </w:pPr>
      <w:r>
        <w:rPr>
          <w:rFonts w:hint="default" w:ascii="ＭＳ 明朝" w:hAnsi="ＭＳ 明朝" w:eastAsia="ＭＳ 明朝"/>
          <w:b w:val="0"/>
          <w:i w:val="0"/>
          <w:strike w:val="0"/>
          <w:color w:val="000000" w:themeColor="text1"/>
          <w:sz w:val="24"/>
          <w:highlight w:val="none"/>
          <w:u w:val="none" w:color="auto"/>
          <w:shd w:val="clear" w:color="auto" w:fill="auto"/>
        </w:rPr>
        <w:t>通所介護サービス</w:t>
      </w:r>
      <w:r>
        <w:rPr>
          <w:rFonts w:hint="eastAsia" w:ascii="ＭＳ 明朝" w:hAnsi="ＭＳ 明朝" w:eastAsia="ＭＳ 明朝"/>
          <w:b w:val="0"/>
          <w:i w:val="0"/>
          <w:strike w:val="0"/>
          <w:color w:val="000000" w:themeColor="text1"/>
          <w:sz w:val="24"/>
          <w:highlight w:val="none"/>
          <w:u w:val="none" w:color="auto"/>
          <w:shd w:val="clear" w:color="auto" w:fill="auto"/>
        </w:rPr>
        <w:t>Ａに要する第１号事業支給費の額の算定に関する留意事項については、</w:t>
      </w:r>
      <w:r>
        <w:rPr>
          <w:rFonts w:hint="eastAsia"/>
          <w:color w:val="000000" w:themeColor="text1"/>
          <w:sz w:val="24"/>
          <w:highlight w:val="none"/>
          <w:shd w:val="clear" w:color="auto" w:fill="auto"/>
        </w:rPr>
        <w:t>以下によるものとする。</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（１）通所サービスＡ費の算定について</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①　別に市が定める基準に適合しているものとして届け出た指定通所サービスＡ事業所において、指定通所サービスＡを行った場合に、利用者の状態区分が、事業対象者又は要支援１の場合にあっては１週に１回、要支援２の場合にあっては１週に２回を限度とし、それぞれ所定単位数を算定する。</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②　指定通所サービスＡ事業の従業者が、別に厚生労働大臣が定める地域に居住している利用者に対して、通常の事業の実施地域を越えて、指定通所サービスＡを行った場合は、１回につき所定単位数を算定する。</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③　利用者が介護予防短期入所生活介護、介護予防短期入所療養介護若しくは介護予防特定施設入居者生活介護又は介護予防小規模多機能型居宅介護若しくは介護予防認知症対応型共同生活介護を受けている間は、通所サービスＡ費は算定しない。</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④　利用者が一の指定通所サービスＡ事業所において指定通所サービスＡを受けている間は、介護予防通所介護相当サービス費及び当該事業所以外が行った通所サービスＡ費は算定しない。</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⑤　通所サービスＡは、当日の利用者の心身の状況等によって、当該計画に位置付けられていない身体介助が提供された場合においても、通所サービスＡ費を算定する。</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ただし、この場合において、身体介助を要する要因が一時的なものではないと判断されるときは、利用者の心身の状況等の的確な把握を行った上で改めてアセスメントを行い、必要に応じて</w:t>
      </w:r>
      <w:r>
        <w:rPr>
          <w:rFonts w:hint="default" w:ascii="ＭＳ 明朝" w:hAnsi="ＭＳ 明朝" w:eastAsia="ＭＳ 明朝"/>
          <w:b w:val="0"/>
          <w:i w:val="0"/>
          <w:strike w:val="0"/>
          <w:color w:val="000000" w:themeColor="text1"/>
          <w:sz w:val="24"/>
          <w:highlight w:val="none"/>
          <w:u w:val="none" w:color="auto"/>
          <w:shd w:val="clear" w:color="auto" w:fill="auto"/>
        </w:rPr>
        <w:t>介護予防通所介護相当サービス</w:t>
      </w:r>
      <w:r>
        <w:rPr>
          <w:rFonts w:hint="eastAsia"/>
          <w:sz w:val="24"/>
          <w:highlight w:val="none"/>
          <w:shd w:val="clear" w:color="auto" w:fill="auto"/>
        </w:rPr>
        <w:t>への移行を踏まえた通所型サービス計画の変更を行うこと。</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（２）生活機能向上グループ活動加算の算定について</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生活機能向上グループ活動加算の取扱いについては、介護予防通所介護相当サービスにおける同加算の取扱いに準ずるほか、以下によるものとする。</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①　生活機能向上グループ活動加算は、１回につき所定単位数を算定する。</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ただし、１月につき当該加算の要件を満たしているか確認を行い、当該加算の要件を満たさない場合は、算定しない。</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（３）運動器機能向上加算の算定について</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運動器機能向上加算の取扱いについては、介護予防通所介護相当サービスにおける同加算の取扱いに準ずるほか、以下によるものとする。</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①　運動器機能向上加算は、１回につき所定単位数を算定する。</w:t>
      </w:r>
    </w:p>
    <w:p>
      <w:pPr>
        <w:pStyle w:val="0"/>
        <w:ind w:left="0" w:leftChars="0" w:hanging="720" w:hangingChars="300"/>
        <w:rPr>
          <w:rFonts w:hint="eastAsia"/>
          <w:sz w:val="24"/>
          <w:highlight w:val="none"/>
          <w:shd w:val="clear" w:color="auto" w:fill="auto"/>
        </w:rPr>
      </w:pPr>
      <w:r>
        <w:rPr>
          <w:rFonts w:hint="eastAsia"/>
          <w:sz w:val="24"/>
          <w:highlight w:val="none"/>
          <w:shd w:val="clear" w:color="auto" w:fill="auto"/>
        </w:rPr>
        <w:t>　　　　ただし、１月につき当該加算の要件を満たしているか確認を行い、当該加算の要件を満たさない場合は、算定しない。</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（４）送迎加算について</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①　利用者に送迎を行った場合は、片道につき１日に２回を限度とし、それぞれ所定単位数を算定する。</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②　</w:t>
      </w:r>
      <w:r>
        <w:rPr>
          <w:rFonts w:hint="eastAsia"/>
          <w:color w:val="000000" w:themeColor="text1"/>
          <w:sz w:val="24"/>
          <w:highlight w:val="none"/>
          <w:shd w:val="clear" w:color="auto" w:fill="auto"/>
        </w:rPr>
        <w:t>事業所と同一建物に居住する者又は同一建物から利用する者については算定しない</w:t>
      </w:r>
      <w:r>
        <w:rPr>
          <w:rFonts w:hint="eastAsia"/>
          <w:sz w:val="24"/>
          <w:highlight w:val="none"/>
          <w:shd w:val="clear" w:color="auto" w:fill="auto"/>
        </w:rPr>
        <w:t>。</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③　送迎の実施状況を、１月ごとに当該利用者を担当する地域包括支援センターに報告すること。</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（５）入浴加算について</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①　利用者が指定通所サービス事業所において入浴した場合は、１日に１回を限度とし、所定単位数を算定する。</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②　当該利用者の入浴の状況を、１月ごとに当該利用者を担当する地域包括支援センターに報告すること。</w:t>
      </w:r>
    </w:p>
    <w:p>
      <w:pPr>
        <w:pStyle w:val="0"/>
        <w:ind w:leftChars="0" w:firstLineChars="0"/>
        <w:rPr>
          <w:rFonts w:hint="eastAsia"/>
          <w:sz w:val="24"/>
          <w:highlight w:val="none"/>
          <w:shd w:val="clear" w:color="auto" w:fill="auto"/>
        </w:rPr>
      </w:pPr>
    </w:p>
    <w:p>
      <w:pPr>
        <w:pStyle w:val="0"/>
        <w:ind w:leftChars="0" w:firstLineChars="0"/>
        <w:rPr>
          <w:rFonts w:hint="eastAsia"/>
          <w:sz w:val="24"/>
          <w:highlight w:val="none"/>
          <w:shd w:val="clear" w:color="auto" w:fill="auto"/>
        </w:rPr>
      </w:pPr>
    </w:p>
    <w:p>
      <w:pPr>
        <w:pStyle w:val="0"/>
        <w:ind w:leftChars="0" w:firstLineChars="0"/>
        <w:rPr>
          <w:rFonts w:hint="eastAsia"/>
          <w:sz w:val="24"/>
          <w:highlight w:val="none"/>
          <w:shd w:val="clear" w:color="auto" w:fill="auto"/>
        </w:rPr>
      </w:pPr>
    </w:p>
    <w:p>
      <w:pPr>
        <w:pStyle w:val="0"/>
        <w:ind w:leftChars="0" w:firstLineChars="0"/>
        <w:rPr>
          <w:rFonts w:hint="eastAsia"/>
          <w:sz w:val="24"/>
          <w:highlight w:val="none"/>
          <w:shd w:val="clear" w:color="auto" w:fill="auto"/>
        </w:rPr>
      </w:pPr>
    </w:p>
    <w:p>
      <w:pPr>
        <w:pStyle w:val="0"/>
        <w:ind w:leftChars="0" w:firstLineChars="0"/>
        <w:rPr>
          <w:rFonts w:hint="eastAsia"/>
          <w:sz w:val="24"/>
          <w:highlight w:val="none"/>
          <w:shd w:val="clear" w:color="auto" w:fill="auto"/>
        </w:rPr>
      </w:pPr>
    </w:p>
    <w:p>
      <w:pPr>
        <w:pStyle w:val="0"/>
        <w:jc w:val="left"/>
        <w:rPr>
          <w:rFonts w:hint="eastAsia"/>
          <w:sz w:val="24"/>
          <w:highlight w:val="none"/>
          <w:shd w:val="clear" w:color="auto" w:fill="auto"/>
        </w:rPr>
      </w:pPr>
      <w:r>
        <w:rPr>
          <w:rFonts w:hint="eastAsia" w:ascii="ＭＳ ゴシック" w:hAnsi="ＭＳ ゴシック" w:eastAsia="ＭＳ ゴシック"/>
          <w:sz w:val="24"/>
          <w:highlight w:val="none"/>
          <w:shd w:val="clear" w:color="auto" w:fill="auto"/>
        </w:rPr>
        <w:t>５．八女市介護予防・日常生活支援総合事業の平成３１年４月改正に伴う留意事項</w:t>
      </w:r>
    </w:p>
    <w:p>
      <w:pPr>
        <w:pStyle w:val="0"/>
        <w:jc w:val="left"/>
        <w:rPr>
          <w:rFonts w:hint="eastAsia"/>
          <w:sz w:val="24"/>
          <w:highlight w:val="none"/>
          <w:shd w:val="clear" w:color="auto" w:fill="auto"/>
        </w:rPr>
      </w:pPr>
    </w:p>
    <w:p>
      <w:pPr>
        <w:pStyle w:val="0"/>
        <w:ind w:left="210" w:leftChars="100" w:firstLine="240" w:firstLineChars="100"/>
        <w:rPr>
          <w:rFonts w:hint="eastAsia"/>
          <w:sz w:val="24"/>
          <w:highlight w:val="none"/>
          <w:shd w:val="clear" w:color="auto" w:fill="auto"/>
        </w:rPr>
      </w:pPr>
      <w:r>
        <w:rPr>
          <w:rFonts w:hint="eastAsia"/>
          <w:sz w:val="24"/>
          <w:highlight w:val="none"/>
          <w:shd w:val="clear" w:color="auto" w:fill="auto"/>
        </w:rPr>
        <w:t>八女市介護予防・日常生活支援総合事業の改正に伴い、</w:t>
      </w:r>
      <w:r>
        <w:rPr>
          <w:rFonts w:hint="eastAsia"/>
          <w:sz w:val="24"/>
          <w:highlight w:val="none"/>
          <w:u w:val="none" w:color="auto"/>
          <w:shd w:val="clear" w:color="auto" w:fill="auto"/>
        </w:rPr>
        <w:t>身体介助又は専門的な支援を要しない利用者については、通所サービスＡに移行することとなるため、すべての利用者について、</w:t>
      </w:r>
      <w:r>
        <w:rPr>
          <w:rFonts w:hint="eastAsia"/>
          <w:sz w:val="24"/>
          <w:highlight w:val="none"/>
          <w:shd w:val="clear" w:color="auto" w:fill="auto"/>
        </w:rPr>
        <w:t>地域包括支援センターと共同して当該利用者の状況把握（アセスメント）を実施し、平成３１年４月から介護予防通所介護相当サービス、通所サービスＡ、いずれのサービスの対象となるか検討協議を行う必要があるが、通所サービスＡに移行する場合であっても、利用者に係るアセスメント結果に変化がなく、提供する具体的なサービス内容に変化がない場合は以下の手順によることができるものとする。</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（１）サービス担当者会議の開催</w:t>
      </w:r>
    </w:p>
    <w:p>
      <w:pPr>
        <w:pStyle w:val="0"/>
        <w:ind w:left="420" w:leftChars="200" w:firstLine="240" w:firstLineChars="100"/>
        <w:rPr>
          <w:rFonts w:hint="eastAsia"/>
          <w:sz w:val="24"/>
          <w:highlight w:val="none"/>
          <w:shd w:val="clear" w:color="auto" w:fill="auto"/>
        </w:rPr>
      </w:pPr>
      <w:r>
        <w:rPr>
          <w:rFonts w:hint="eastAsia"/>
          <w:sz w:val="24"/>
          <w:highlight w:val="none"/>
          <w:shd w:val="clear" w:color="auto" w:fill="auto"/>
        </w:rPr>
        <w:t>上記の地域包括支援センターとの検討協議及び利用者への説明をもって「サービス担当者会議」が開催されたものとみなして差し支えない。この場合は、当該記録を整備すること。</w:t>
      </w:r>
    </w:p>
    <w:p>
      <w:pPr>
        <w:pStyle w:val="0"/>
        <w:ind w:left="0" w:leftChars="0" w:hanging="480" w:hangingChars="200"/>
        <w:rPr>
          <w:rFonts w:hint="eastAsia"/>
          <w:sz w:val="24"/>
          <w:highlight w:val="none"/>
          <w:shd w:val="clear" w:color="auto" w:fill="auto"/>
        </w:rPr>
      </w:pPr>
      <w:r>
        <w:rPr>
          <w:rFonts w:hint="eastAsia"/>
          <w:sz w:val="24"/>
          <w:highlight w:val="none"/>
          <w:shd w:val="clear" w:color="auto" w:fill="auto"/>
        </w:rPr>
        <w:t>（２）通所サービスＡ計画の作成</w:t>
      </w:r>
    </w:p>
    <w:p>
      <w:pPr>
        <w:pStyle w:val="0"/>
        <w:ind w:left="420" w:leftChars="200" w:firstLine="240" w:firstLineChars="100"/>
        <w:rPr>
          <w:rFonts w:hint="eastAsia"/>
          <w:sz w:val="24"/>
          <w:highlight w:val="none"/>
          <w:shd w:val="clear" w:color="auto" w:fill="auto"/>
        </w:rPr>
      </w:pPr>
      <w:r>
        <w:rPr>
          <w:rFonts w:hint="eastAsia"/>
          <w:sz w:val="24"/>
          <w:highlight w:val="none"/>
          <w:shd w:val="clear" w:color="auto" w:fill="auto"/>
        </w:rPr>
        <w:t>従前の介護予防通所介護相当サービスの計画期間が終了するまでの期間においては、利用者に提供されるサービス種別や費用額等が変更される旨を説明し、同意を得た場合には、当該計画に記載された介護予防通所相当サービスを通所サービスＡと読み替えることで、通所サービスＡ計画が作成されたものとみなして差し支えない。</w:t>
      </w:r>
    </w:p>
    <w:p>
      <w:pPr>
        <w:pStyle w:val="0"/>
        <w:ind w:left="0" w:leftChars="0" w:firstLine="0" w:firstLineChars="0"/>
        <w:rPr>
          <w:rFonts w:hint="eastAsia"/>
          <w:sz w:val="24"/>
          <w:highlight w:val="none"/>
          <w:shd w:val="clear" w:color="auto" w:fill="auto"/>
        </w:rPr>
      </w:pPr>
      <w:r>
        <w:rPr>
          <w:rFonts w:hint="eastAsia"/>
          <w:sz w:val="24"/>
          <w:highlight w:val="none"/>
          <w:shd w:val="clear" w:color="auto" w:fill="auto"/>
        </w:rPr>
        <w:t>　　</w:t>
      </w:r>
    </w:p>
    <w:p>
      <w:pPr>
        <w:pStyle w:val="0"/>
        <w:ind w:left="0" w:leftChars="0" w:hanging="240" w:hangingChars="100"/>
        <w:rPr>
          <w:rFonts w:hint="eastAsia"/>
          <w:sz w:val="24"/>
          <w:highlight w:val="none"/>
          <w:shd w:val="clear" w:color="auto" w:fill="auto"/>
        </w:rPr>
      </w:pPr>
      <w:r>
        <w:rPr>
          <w:rFonts w:hint="eastAsia"/>
          <w:sz w:val="24"/>
          <w:highlight w:val="none"/>
          <w:shd w:val="clear" w:color="auto" w:fill="auto"/>
        </w:rPr>
        <w:t>　　なお、従前計画に身体介助又は専門的支援の記載のない利用者が、改めてアセスメントを実施した結果、当該支援を要するようになった場合には、基準に定められた適切な方法により、介護予防通所介護相当サービス計画の変更手続きを行うこと。</w:t>
      </w: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r>
        <w:rPr>
          <w:rFonts w:hint="eastAsia"/>
          <w:sz w:val="24"/>
          <w:highlight w:val="none"/>
          <w:shd w:val="clear" w:color="auto" w:fill="auto"/>
        </w:rPr>
        <w:t>【別紙】　　　　　</w:t>
      </w:r>
      <w:r>
        <w:rPr>
          <w:rFonts w:hint="eastAsia" w:ascii="ＭＳ ゴシック" w:hAnsi="ＭＳ ゴシック" w:eastAsia="ＭＳ ゴシック"/>
          <w:sz w:val="28"/>
          <w:highlight w:val="none"/>
          <w:shd w:val="clear" w:color="auto" w:fill="auto"/>
        </w:rPr>
        <w:t>通所型サービスにおける身体介助区分</w:t>
      </w:r>
    </w:p>
    <w:p>
      <w:pPr>
        <w:pStyle w:val="0"/>
        <w:jc w:val="left"/>
        <w:rPr>
          <w:rFonts w:hint="eastAsia"/>
          <w:sz w:val="24"/>
          <w:highlight w:val="none"/>
          <w:shd w:val="clear" w:color="auto" w:fill="auto"/>
        </w:rPr>
      </w:pPr>
    </w:p>
    <w:p>
      <w:pPr>
        <w:pStyle w:val="0"/>
        <w:ind w:left="0" w:leftChars="0" w:firstLine="240" w:firstLineChars="100"/>
        <w:rPr>
          <w:rFonts w:hint="eastAsia"/>
          <w:sz w:val="24"/>
          <w:highlight w:val="none"/>
          <w:shd w:val="clear" w:color="auto" w:fill="auto"/>
        </w:rPr>
      </w:pPr>
      <w:r>
        <w:rPr>
          <w:rFonts w:hint="eastAsia"/>
          <w:sz w:val="24"/>
          <w:highlight w:val="none"/>
          <w:shd w:val="clear" w:color="auto" w:fill="auto"/>
        </w:rPr>
        <w:t>八女市介護予防・日常生活支援総合事業における指定通所型サービス事業のうち、介護予防通所介護相当サービスの対象者は、「身体介助又は専門的支援を要する要支援認定者」としたところであるが、通所型サービスにおける身体介助の定義及びサービス行為ごとの身体介助の区分について、以下のとおり例示したので、通所型サービス計画及び介護予防サービス計画等を作成する際の参考として活用されたい。</w:t>
      </w:r>
    </w:p>
    <w:p>
      <w:pPr>
        <w:pStyle w:val="0"/>
        <w:ind w:left="0" w:leftChars="0" w:hanging="240" w:hangingChars="100"/>
        <w:rPr>
          <w:rFonts w:hint="eastAsia"/>
          <w:sz w:val="24"/>
          <w:highlight w:val="none"/>
          <w:shd w:val="clear" w:color="auto" w:fill="auto"/>
        </w:rPr>
      </w:pPr>
    </w:p>
    <w:p>
      <w:pPr>
        <w:pStyle w:val="0"/>
        <w:ind w:left="0" w:leftChars="0" w:hanging="240" w:hangingChars="100"/>
        <w:rPr>
          <w:rFonts w:hint="eastAsia"/>
          <w:sz w:val="24"/>
          <w:highlight w:val="none"/>
          <w:shd w:val="clear" w:color="auto" w:fill="auto"/>
        </w:rPr>
      </w:pPr>
      <w:r>
        <w:rPr>
          <w:rFonts w:hint="eastAsia" w:ascii="ＭＳ ゴシック" w:hAnsi="ＭＳ ゴシック" w:eastAsia="ＭＳ ゴシック"/>
          <w:sz w:val="24"/>
          <w:highlight w:val="none"/>
          <w:shd w:val="clear" w:color="auto" w:fill="auto"/>
        </w:rPr>
        <w:t>１．通所型サービスにおける身体介助の定義</w:t>
      </w:r>
    </w:p>
    <w:p>
      <w:pPr>
        <w:pStyle w:val="0"/>
        <w:ind w:left="210" w:leftChars="100" w:firstLine="240" w:firstLineChars="100"/>
        <w:rPr>
          <w:rFonts w:hint="eastAsia"/>
          <w:sz w:val="24"/>
          <w:highlight w:val="none"/>
          <w:shd w:val="clear" w:color="auto" w:fill="auto"/>
        </w:rPr>
      </w:pPr>
      <w:r>
        <w:rPr>
          <w:rFonts w:hint="eastAsia"/>
          <w:sz w:val="24"/>
          <w:highlight w:val="none"/>
          <w:shd w:val="clear" w:color="auto" w:fill="auto"/>
        </w:rPr>
        <w:t>通所型サービスにおける身体介助は、利用者ごとの心身の状況に基づき、個別的（マンツーマン）に提供される以下の行為をいい、</w:t>
      </w:r>
      <w:r>
        <w:rPr>
          <w:rFonts w:hint="eastAsia"/>
          <w:sz w:val="24"/>
          <w:highlight w:val="none"/>
          <w:u w:val="single" w:color="auto"/>
          <w:shd w:val="clear" w:color="auto" w:fill="auto"/>
        </w:rPr>
        <w:t>複数の利用者に対し同時一体的に提供される行為や単なる見守り・声かけ等を含まない。</w:t>
      </w:r>
    </w:p>
    <w:p>
      <w:pPr>
        <w:pStyle w:val="0"/>
        <w:ind w:left="0" w:leftChars="0" w:hanging="240" w:hangingChars="100"/>
        <w:rPr>
          <w:rFonts w:hint="eastAsia"/>
          <w:sz w:val="24"/>
          <w:highlight w:val="none"/>
          <w:shd w:val="clear" w:color="auto" w:fill="auto"/>
        </w:rPr>
      </w:pPr>
      <w:r>
        <w:rPr>
          <w:rFonts w:hint="eastAsia"/>
          <w:sz w:val="24"/>
          <w:highlight w:val="none"/>
          <w:shd w:val="clear" w:color="auto" w:fill="auto"/>
        </w:rPr>
        <w:t>　　①利用者の身体に直接接触して行う介助サービス</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②利用者の日常生活動作（</w:t>
      </w:r>
      <w:r>
        <w:rPr>
          <w:rFonts w:hint="eastAsia"/>
          <w:sz w:val="24"/>
          <w:highlight w:val="none"/>
          <w:shd w:val="clear" w:color="auto" w:fill="auto"/>
        </w:rPr>
        <w:t>ADL)</w:t>
      </w:r>
      <w:r>
        <w:rPr>
          <w:rFonts w:hint="eastAsia"/>
          <w:sz w:val="24"/>
          <w:highlight w:val="none"/>
          <w:shd w:val="clear" w:color="auto" w:fill="auto"/>
        </w:rPr>
        <w:t>や意欲の向上のために利用者と共に行う自立支援のためのサービス</w:t>
      </w:r>
    </w:p>
    <w:p>
      <w:pPr>
        <w:pStyle w:val="0"/>
        <w:ind w:left="660" w:leftChars="200" w:hanging="240" w:hangingChars="100"/>
        <w:rPr>
          <w:rFonts w:hint="eastAsia"/>
          <w:sz w:val="24"/>
          <w:highlight w:val="none"/>
          <w:shd w:val="clear" w:color="auto" w:fill="auto"/>
        </w:rPr>
      </w:pPr>
      <w:r>
        <w:rPr>
          <w:rFonts w:hint="eastAsia"/>
          <w:sz w:val="24"/>
          <w:highlight w:val="none"/>
          <w:shd w:val="clear" w:color="auto" w:fill="auto"/>
        </w:rPr>
        <w:t>③その他専門的知識・技術（介助を要する状態となった要因である心身の障害や疾患等に伴って必要となる特段の専門的配慮）をもって行う利用者の日常生活上・社会生活上のためのサービス</w:t>
      </w:r>
    </w:p>
    <w:p>
      <w:pPr>
        <w:pStyle w:val="0"/>
        <w:ind w:left="0" w:leftChars="0" w:hanging="720" w:hangingChars="300"/>
        <w:rPr>
          <w:rFonts w:hint="eastAsia"/>
          <w:sz w:val="24"/>
          <w:highlight w:val="none"/>
          <w:shd w:val="clear" w:color="auto" w:fill="auto"/>
        </w:rPr>
      </w:pPr>
    </w:p>
    <w:p>
      <w:pPr>
        <w:pStyle w:val="0"/>
        <w:ind w:left="0" w:leftChars="0" w:hanging="720" w:hangingChars="300"/>
        <w:rPr>
          <w:rFonts w:hint="eastAsia"/>
          <w:sz w:val="24"/>
          <w:highlight w:val="none"/>
          <w:shd w:val="clear" w:color="auto" w:fill="auto"/>
        </w:rPr>
      </w:pPr>
      <w:r>
        <w:rPr>
          <w:rFonts w:hint="eastAsia" w:ascii="ＭＳ ゴシック" w:hAnsi="ＭＳ ゴシック" w:eastAsia="ＭＳ ゴシック"/>
          <w:sz w:val="24"/>
          <w:highlight w:val="none"/>
          <w:shd w:val="clear" w:color="auto" w:fill="auto"/>
        </w:rPr>
        <w:t>２．通所型サービスにおけるサービス行為ごとの身体介助区分</w:t>
      </w:r>
    </w:p>
    <w:p>
      <w:pPr>
        <w:pStyle w:val="0"/>
        <w:ind w:left="210" w:leftChars="100" w:firstLine="240" w:firstLineChars="100"/>
        <w:rPr>
          <w:rFonts w:hint="eastAsia"/>
          <w:sz w:val="24"/>
          <w:highlight w:val="none"/>
          <w:shd w:val="clear" w:color="auto" w:fill="auto"/>
        </w:rPr>
      </w:pPr>
      <w:r>
        <w:rPr>
          <w:rFonts w:hint="eastAsia"/>
          <w:sz w:val="24"/>
          <w:highlight w:val="none"/>
          <w:shd w:val="clear" w:color="auto" w:fill="auto"/>
        </w:rPr>
        <w:t>以下の個々のサービス行為は、あくまで例示であり、実際に利用者にサービス提供する際には、当然、利用者個々人の身体状態等に即した取扱いが求められる。</w:t>
      </w:r>
    </w:p>
    <w:p>
      <w:pPr>
        <w:pStyle w:val="0"/>
        <w:ind w:left="210" w:leftChars="100" w:firstLine="0" w:firstLineChars="0"/>
        <w:rPr>
          <w:rFonts w:hint="eastAsia"/>
          <w:sz w:val="24"/>
          <w:highlight w:val="none"/>
          <w:shd w:val="clear" w:color="auto" w:fill="auto"/>
        </w:rPr>
      </w:pPr>
    </w:p>
    <w:tbl>
      <w:tblPr>
        <w:tblStyle w:val="17"/>
        <w:tblW w:w="0" w:type="auto"/>
        <w:tblInd w:w="415" w:type="dxa"/>
        <w:tblLayout w:type="fixed"/>
        <w:tblLook w:firstRow="1" w:lastRow="0" w:firstColumn="1" w:lastColumn="0" w:noHBand="0" w:noVBand="1" w:val="04A0"/>
      </w:tblPr>
      <w:tblGrid>
        <w:gridCol w:w="2715"/>
        <w:gridCol w:w="5895"/>
      </w:tblGrid>
      <w:tr>
        <w:trPr>
          <w:trHeight w:val="403" w:hRule="atLeast"/>
        </w:trPr>
        <w:tc>
          <w:tcPr>
            <w:tcW w:w="2715" w:type="dxa"/>
            <w:vAlign w:val="top"/>
          </w:tcPr>
          <w:p>
            <w:pPr>
              <w:pStyle w:val="0"/>
              <w:jc w:val="center"/>
              <w:rPr>
                <w:rFonts w:hint="eastAsia"/>
                <w:sz w:val="24"/>
                <w:highlight w:val="none"/>
                <w:shd w:val="clear" w:color="auto" w:fill="auto"/>
              </w:rPr>
            </w:pPr>
            <w:r>
              <w:rPr>
                <w:rFonts w:hint="eastAsia"/>
                <w:sz w:val="24"/>
                <w:highlight w:val="none"/>
                <w:shd w:val="clear" w:color="auto" w:fill="auto"/>
              </w:rPr>
              <w:t>身体介助区分</w:t>
            </w:r>
          </w:p>
        </w:tc>
        <w:tc>
          <w:tcPr>
            <w:tcW w:w="5895" w:type="dxa"/>
            <w:vAlign w:val="top"/>
          </w:tcPr>
          <w:p>
            <w:pPr>
              <w:pStyle w:val="0"/>
              <w:jc w:val="center"/>
              <w:rPr>
                <w:rFonts w:hint="eastAsia"/>
                <w:sz w:val="24"/>
                <w:highlight w:val="none"/>
                <w:shd w:val="clear" w:color="auto" w:fill="auto"/>
              </w:rPr>
            </w:pPr>
            <w:r>
              <w:rPr>
                <w:rFonts w:hint="eastAsia"/>
                <w:sz w:val="24"/>
                <w:highlight w:val="none"/>
                <w:shd w:val="clear" w:color="auto" w:fill="auto"/>
              </w:rPr>
              <w:t>サービス行為等の例</w:t>
            </w:r>
          </w:p>
        </w:tc>
      </w:tr>
      <w:tr>
        <w:trPr>
          <w:trHeight w:val="805" w:hRule="atLeast"/>
        </w:trPr>
        <w:tc>
          <w:tcPr>
            <w:tcW w:w="2715" w:type="dxa"/>
            <w:vAlign w:val="top"/>
          </w:tcPr>
          <w:p>
            <w:pPr>
              <w:pStyle w:val="0"/>
              <w:jc w:val="center"/>
              <w:rPr>
                <w:rFonts w:hint="eastAsia"/>
                <w:sz w:val="24"/>
                <w:highlight w:val="none"/>
                <w:shd w:val="clear" w:color="auto" w:fill="auto"/>
              </w:rPr>
            </w:pPr>
            <w:r>
              <w:rPr>
                <w:rFonts w:hint="eastAsia"/>
                <w:sz w:val="24"/>
                <w:highlight w:val="none"/>
                <w:shd w:val="clear" w:color="auto" w:fill="auto"/>
              </w:rPr>
              <w:t>移動介助</w:t>
            </w:r>
          </w:p>
        </w:tc>
        <w:tc>
          <w:tcPr>
            <w:tcW w:w="5895" w:type="dxa"/>
            <w:vAlign w:val="top"/>
          </w:tcPr>
          <w:p>
            <w:pPr>
              <w:pStyle w:val="0"/>
              <w:rPr>
                <w:rFonts w:hint="eastAsia"/>
                <w:sz w:val="24"/>
                <w:highlight w:val="none"/>
                <w:shd w:val="clear" w:color="auto" w:fill="auto"/>
              </w:rPr>
            </w:pPr>
            <w:r>
              <w:rPr>
                <w:rFonts w:hint="eastAsia"/>
                <w:sz w:val="24"/>
                <w:highlight w:val="none"/>
                <w:shd w:val="clear" w:color="auto" w:fill="auto"/>
              </w:rPr>
              <w:t>車いす・歩行器等への移乗介助、車いすを押す、</w:t>
            </w:r>
          </w:p>
          <w:p>
            <w:pPr>
              <w:pStyle w:val="0"/>
              <w:rPr>
                <w:rFonts w:hint="eastAsia"/>
                <w:sz w:val="24"/>
                <w:highlight w:val="none"/>
                <w:shd w:val="clear" w:color="auto" w:fill="auto"/>
              </w:rPr>
            </w:pPr>
            <w:r>
              <w:rPr>
                <w:rFonts w:hint="eastAsia"/>
                <w:sz w:val="24"/>
                <w:highlight w:val="none"/>
                <w:shd w:val="clear" w:color="auto" w:fill="auto"/>
              </w:rPr>
              <w:t>歩行器に手をかける、手を引く　　　　　　　など</w:t>
            </w:r>
          </w:p>
        </w:tc>
      </w:tr>
      <w:tr>
        <w:trPr>
          <w:trHeight w:val="805" w:hRule="atLeast"/>
        </w:trPr>
        <w:tc>
          <w:tcPr>
            <w:tcW w:w="2715" w:type="dxa"/>
            <w:vAlign w:val="top"/>
          </w:tcPr>
          <w:p>
            <w:pPr>
              <w:pStyle w:val="0"/>
              <w:jc w:val="center"/>
              <w:rPr>
                <w:rFonts w:hint="eastAsia"/>
                <w:sz w:val="24"/>
                <w:highlight w:val="none"/>
                <w:shd w:val="clear" w:color="auto" w:fill="auto"/>
              </w:rPr>
            </w:pPr>
            <w:r>
              <w:rPr>
                <w:rFonts w:hint="eastAsia"/>
                <w:sz w:val="24"/>
                <w:highlight w:val="none"/>
                <w:shd w:val="clear" w:color="auto" w:fill="auto"/>
              </w:rPr>
              <w:t>食事介助</w:t>
            </w:r>
          </w:p>
        </w:tc>
        <w:tc>
          <w:tcPr>
            <w:tcW w:w="5895" w:type="dxa"/>
            <w:vAlign w:val="top"/>
          </w:tcPr>
          <w:p>
            <w:pPr>
              <w:pStyle w:val="0"/>
              <w:rPr>
                <w:rFonts w:hint="eastAsia"/>
                <w:sz w:val="24"/>
                <w:highlight w:val="none"/>
                <w:shd w:val="clear" w:color="auto" w:fill="auto"/>
              </w:rPr>
            </w:pPr>
            <w:r>
              <w:rPr>
                <w:rFonts w:hint="eastAsia"/>
                <w:sz w:val="24"/>
                <w:highlight w:val="none"/>
                <w:shd w:val="clear" w:color="auto" w:fill="auto"/>
              </w:rPr>
              <w:t>利用者の手洗い介助、座位保持等の介助、</w:t>
            </w:r>
          </w:p>
          <w:p>
            <w:pPr>
              <w:pStyle w:val="0"/>
              <w:rPr>
                <w:rFonts w:hint="eastAsia"/>
                <w:sz w:val="24"/>
                <w:highlight w:val="none"/>
                <w:shd w:val="clear" w:color="auto" w:fill="auto"/>
              </w:rPr>
            </w:pPr>
            <w:r>
              <w:rPr>
                <w:rFonts w:hint="eastAsia"/>
                <w:sz w:val="24"/>
                <w:highlight w:val="none"/>
                <w:shd w:val="clear" w:color="auto" w:fill="auto"/>
              </w:rPr>
              <w:t>摂食介助（食材をきざむ、つぶす等を含む）　など</w:t>
            </w:r>
          </w:p>
        </w:tc>
      </w:tr>
      <w:tr>
        <w:trPr>
          <w:trHeight w:val="806" w:hRule="atLeast"/>
        </w:trPr>
        <w:tc>
          <w:tcPr>
            <w:tcW w:w="2715" w:type="dxa"/>
            <w:vAlign w:val="top"/>
          </w:tcPr>
          <w:p>
            <w:pPr>
              <w:pStyle w:val="0"/>
              <w:jc w:val="center"/>
              <w:rPr>
                <w:rFonts w:hint="eastAsia"/>
                <w:sz w:val="24"/>
                <w:highlight w:val="none"/>
                <w:shd w:val="clear" w:color="auto" w:fill="auto"/>
              </w:rPr>
            </w:pPr>
            <w:r>
              <w:rPr>
                <w:rFonts w:hint="eastAsia"/>
                <w:sz w:val="24"/>
                <w:highlight w:val="none"/>
                <w:shd w:val="clear" w:color="auto" w:fill="auto"/>
              </w:rPr>
              <w:t>入浴介助</w:t>
            </w:r>
          </w:p>
        </w:tc>
        <w:tc>
          <w:tcPr>
            <w:tcW w:w="5895" w:type="dxa"/>
            <w:vAlign w:val="top"/>
          </w:tcPr>
          <w:p>
            <w:pPr>
              <w:pStyle w:val="0"/>
              <w:rPr>
                <w:rFonts w:hint="eastAsia"/>
                <w:sz w:val="24"/>
                <w:highlight w:val="none"/>
                <w:shd w:val="clear" w:color="auto" w:fill="auto"/>
              </w:rPr>
            </w:pPr>
            <w:r>
              <w:rPr>
                <w:rFonts w:hint="eastAsia"/>
                <w:sz w:val="24"/>
                <w:highlight w:val="none"/>
                <w:shd w:val="clear" w:color="auto" w:fill="auto"/>
              </w:rPr>
              <w:t>更衣・清拭・洗髪・洗体・入湯等の入浴行為に</w:t>
            </w:r>
          </w:p>
          <w:p>
            <w:pPr>
              <w:pStyle w:val="0"/>
              <w:rPr>
                <w:rFonts w:hint="eastAsia"/>
                <w:sz w:val="24"/>
                <w:highlight w:val="none"/>
                <w:shd w:val="clear" w:color="auto" w:fill="auto"/>
              </w:rPr>
            </w:pPr>
            <w:r>
              <w:rPr>
                <w:rFonts w:hint="eastAsia"/>
                <w:sz w:val="24"/>
                <w:highlight w:val="none"/>
                <w:shd w:val="clear" w:color="auto" w:fill="auto"/>
              </w:rPr>
              <w:t>対して行う介助　　　　　　　　　　　　　　など</w:t>
            </w:r>
          </w:p>
        </w:tc>
      </w:tr>
      <w:tr>
        <w:trPr>
          <w:trHeight w:val="805" w:hRule="atLeast"/>
        </w:trPr>
        <w:tc>
          <w:tcPr>
            <w:tcW w:w="2715" w:type="dxa"/>
            <w:vAlign w:val="top"/>
          </w:tcPr>
          <w:p>
            <w:pPr>
              <w:pStyle w:val="0"/>
              <w:jc w:val="center"/>
              <w:rPr>
                <w:rFonts w:hint="eastAsia"/>
                <w:sz w:val="24"/>
                <w:highlight w:val="none"/>
                <w:shd w:val="clear" w:color="auto" w:fill="auto"/>
              </w:rPr>
            </w:pPr>
            <w:r>
              <w:rPr>
                <w:rFonts w:hint="eastAsia"/>
                <w:sz w:val="24"/>
                <w:highlight w:val="none"/>
                <w:shd w:val="clear" w:color="auto" w:fill="auto"/>
              </w:rPr>
              <w:t>排せつ介助</w:t>
            </w:r>
          </w:p>
        </w:tc>
        <w:tc>
          <w:tcPr>
            <w:tcW w:w="5895" w:type="dxa"/>
            <w:vAlign w:val="top"/>
          </w:tcPr>
          <w:p>
            <w:pPr>
              <w:pStyle w:val="0"/>
              <w:rPr>
                <w:rFonts w:hint="eastAsia"/>
                <w:sz w:val="24"/>
                <w:highlight w:val="none"/>
                <w:shd w:val="clear" w:color="auto" w:fill="auto"/>
              </w:rPr>
            </w:pPr>
            <w:r>
              <w:rPr>
                <w:rFonts w:hint="eastAsia"/>
                <w:sz w:val="24"/>
                <w:highlight w:val="none"/>
                <w:shd w:val="clear" w:color="auto" w:fill="auto"/>
              </w:rPr>
              <w:t>おむつ交換、更衣介助・トイレへの移動・移乗介助、</w:t>
            </w:r>
          </w:p>
          <w:p>
            <w:pPr>
              <w:pStyle w:val="0"/>
              <w:rPr>
                <w:rFonts w:hint="eastAsia"/>
                <w:sz w:val="24"/>
                <w:highlight w:val="none"/>
                <w:shd w:val="clear" w:color="auto" w:fill="auto"/>
              </w:rPr>
            </w:pPr>
            <w:r>
              <w:rPr>
                <w:rFonts w:hint="eastAsia"/>
                <w:sz w:val="24"/>
                <w:highlight w:val="none"/>
                <w:shd w:val="clear" w:color="auto" w:fill="auto"/>
              </w:rPr>
              <w:t>清潔介助　　　　　　　　　　　　　　　　　など</w:t>
            </w:r>
          </w:p>
        </w:tc>
      </w:tr>
      <w:tr>
        <w:trPr>
          <w:trHeight w:val="806" w:hRule="atLeast"/>
        </w:trPr>
        <w:tc>
          <w:tcPr>
            <w:tcW w:w="2715" w:type="dxa"/>
            <w:vAlign w:val="top"/>
          </w:tcPr>
          <w:p>
            <w:pPr>
              <w:pStyle w:val="0"/>
              <w:jc w:val="center"/>
              <w:rPr>
                <w:rFonts w:hint="eastAsia"/>
                <w:sz w:val="24"/>
                <w:highlight w:val="none"/>
                <w:shd w:val="clear" w:color="auto" w:fill="auto"/>
              </w:rPr>
            </w:pPr>
            <w:r>
              <w:rPr>
                <w:rFonts w:hint="eastAsia"/>
                <w:sz w:val="24"/>
                <w:highlight w:val="none"/>
                <w:shd w:val="clear" w:color="auto" w:fill="auto"/>
              </w:rPr>
              <w:t>その他</w:t>
            </w:r>
          </w:p>
        </w:tc>
        <w:tc>
          <w:tcPr>
            <w:tcW w:w="5895" w:type="dxa"/>
            <w:vAlign w:val="top"/>
          </w:tcPr>
          <w:p>
            <w:pPr>
              <w:pStyle w:val="0"/>
              <w:rPr>
                <w:rFonts w:hint="eastAsia"/>
                <w:sz w:val="24"/>
                <w:highlight w:val="none"/>
                <w:shd w:val="clear" w:color="auto" w:fill="auto"/>
              </w:rPr>
            </w:pPr>
            <w:r>
              <w:rPr>
                <w:rFonts w:hint="eastAsia"/>
                <w:sz w:val="24"/>
                <w:highlight w:val="none"/>
                <w:shd w:val="clear" w:color="auto" w:fill="auto"/>
              </w:rPr>
              <w:t>服薬介助、個別的に常時介助できる状態で行う</w:t>
            </w:r>
          </w:p>
          <w:p>
            <w:pPr>
              <w:pStyle w:val="0"/>
              <w:rPr>
                <w:rFonts w:hint="eastAsia"/>
                <w:sz w:val="24"/>
                <w:highlight w:val="none"/>
                <w:shd w:val="clear" w:color="auto" w:fill="auto"/>
              </w:rPr>
            </w:pPr>
            <w:r>
              <w:rPr>
                <w:rFonts w:hint="eastAsia"/>
                <w:sz w:val="24"/>
                <w:highlight w:val="none"/>
                <w:shd w:val="clear" w:color="auto" w:fill="auto"/>
              </w:rPr>
              <w:t>付添による見守り等（入浴、更衣、移動等）　など</w:t>
            </w:r>
          </w:p>
        </w:tc>
      </w:tr>
    </w:tbl>
    <w:p>
      <w:pPr>
        <w:pStyle w:val="0"/>
        <w:rPr>
          <w:rFonts w:hint="eastAsia"/>
          <w:sz w:val="24"/>
          <w:highlight w:val="none"/>
          <w:shd w:val="clear" w:color="auto" w:fill="auto"/>
        </w:rPr>
      </w:pPr>
    </w:p>
    <w:sectPr>
      <w:pgSz w:w="11906" w:h="16838"/>
      <w:pgMar w:top="1701"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2281</TotalTime>
  <Pages>7</Pages>
  <Words>1</Words>
  <Characters>4589</Characters>
  <Application>JUST Note</Application>
  <Lines>231</Lines>
  <Paragraphs>101</Paragraphs>
  <Company>八女市</Company>
  <CharactersWithSpaces>4704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957_齊藤　司_健康福祉部_介護長寿課_高齢者支援係</dc:creator>
  <cp:lastModifiedBy>957_齊藤　司_健康福祉部_介護長寿課_高齢者支援係</cp:lastModifiedBy>
  <cp:lastPrinted>2018-12-27T06:17:08Z</cp:lastPrinted>
  <dcterms:created xsi:type="dcterms:W3CDTF">2018-10-03T01:24:00Z</dcterms:created>
  <dcterms:modified xsi:type="dcterms:W3CDTF">2018-12-27T06:38:32Z</dcterms:modified>
  <cp:revision>6</cp:revision>
</cp:coreProperties>
</file>